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FVG 1971 — Verzicht auf Mittelbehörden, Aufgabenwahrnehmung durch andere Finanzbehörden</w:t>
      </w:r>
    </w:p>
    <w:p>
      <w:r>
        <w:rPr>
          <w:color w:val="555555"/>
          <w:sz w:val="18"/>
        </w:rPr>
        <w:t xml:space="preserve">Finanzverwaltungsgesetz</w:t>
      </w:r>
    </w:p>
    <w:p>
      <w:r>
        <w:rPr>
          <w:color w:val="555555"/>
          <w:sz w:val="18"/>
        </w:rPr>
        <w:t xml:space="preserve">Stand: 25.01.2021 (konsolidierte Textfassung, kein amtliches Inkrafttretensdatum)</w:t>
      </w:r>
    </w:p>
    <w:p>
      <w:r>
        <w:t xml:space="preserve">(1) Durch Rechtsverordnung kann auf Mittelbehörden verzichtet werden. Die Rechtsverordnung erlässt für den Bereich von Aufgaben des Landes die zuständige Landesregierung. Die Landesregierung kann die Ermächtigung durch Rechtsverordnung auf die für die Finanzverwaltung zuständige oberste Landesbehörde übertragen.</w:t>
      </w:r>
    </w:p>
    <w:p>
      <w:r>
        <w:t xml:space="preserve">(2) Wird auf Mittelbehörden verzichtet, gehen die diesen zugewiesenen Aufgaben der Landesfinanzverwaltung auf die oberste Behörde nach § 2 Abs. 1 Nr. 1 über. Durch Rechtsverordnung der zuständigen Landesregierung können Landesaufgaben nach Satz 1 einer anderen Landesfinanzbehörde übertragen werden. Die Landesregierung kann die Ermächtigung durch Rechtsverordnung auf die für die Finanzverwaltung zuständige oberste Landesbehörde übertragen.</w:t>
      </w:r>
    </w:p>
    <w:p>
      <w:r>
        <w:rPr>
          <w:color w:val="555555"/>
          <w:sz w:val="17"/>
        </w:rPr>
        <w:t xml:space="preserve">Zitiervorschlag: § 2a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