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FVG 1971 — Übergangsregelung Kosten der Oberfinanzdirektion</w:t>
      </w:r>
    </w:p>
    <w:p>
      <w:r>
        <w:rPr>
          <w:color w:val="555555"/>
          <w:sz w:val="18"/>
        </w:rPr>
        <w:t xml:space="preserve">Finanzverwaltungsgesetz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Kosten der Oberfinanzdirektion werden vom Bund getragen, soweit sie auf den Bund entfallen.</w:t>
      </w:r>
    </w:p>
    <w:p>
      <w:r>
        <w:rPr>
          <w:color w:val="555555"/>
          <w:sz w:val="17"/>
        </w:rPr>
        <w:t xml:space="preserve">Zitiervorschlag: § 23 FVG 1971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https://recht.nulegal.eu/gesetze/FVG%201971/23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