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FVG 1971 — Allgemeine Verfahrensgrundsätze</w:t>
      </w:r>
    </w:p>
    <w:p>
      <w:r>
        <w:rPr>
          <w:color w:val="555555"/>
          <w:sz w:val="18"/>
        </w:rPr>
        <w:t xml:space="preserve">Finanzverwaltungsgesetz</w:t>
      </w:r>
    </w:p>
    <w:p>
      <w:r>
        <w:rPr>
          <w:color w:val="555555"/>
          <w:sz w:val="18"/>
        </w:rPr>
        <w:t xml:space="preserve">Stand: 18.01.2020 (konsolidierte Textfassung, kein amtliches Inkrafttretensdatum)</w:t>
      </w:r>
    </w:p>
    <w:p>
      <w:r>
        <w:t xml:space="preserve">(1) Zur Verbesserung und Erleichterung des Vollzugs von Steuergesetzen und im Interesse des Zieles der Gleichmäßigkeit der Besteuerung bestimmt das Bundesministerium der Finanzen mit Zustimmung der obersten Finanzbehörden der Länder einheitliche Verwaltungsgrundsätze, Regelungen zur Zusammenarbeit des Bundes mit den Ländern und erteilt allgemeine fachliche Weisungen. Die Zustimmung gilt als erteilt, wenn nicht mindestens elf Länder widersprechen. Initiativen zur Festlegung der Angelegenheiten des Satzes 1 kann das Bundesministerium der Finanzen allein oder auf gemeinsame Veranlassung von mindestens vier Ländern ergreifen. Die Vertraulichkeit der Sitzungen ist zu wahren, wenn nicht im Einzelfall einstimmig etwas anderes beschlossen wurde. Für Beratungen im schriftlichen Verfahren gilt Entsprechendes.</w:t>
      </w:r>
    </w:p>
    <w:p>
      <w:r>
        <w:t xml:space="preserve">(2) Die oberste Finanzbehörde jedes Landes vereinbart mit dem Bundesministerium der Finanzen bilateral Vollzugsziele für die Steuerverwaltung des Landes auf der Grundlage eines vom Bundesministerium der Finanzen mit Zustimmung der obersten Finanzbehörden der Länder bestimmten Rahmenkatalogs maßgebender Leistungskennzahlen. Die Zustimmung gilt als erteilt, wenn eine Mehrheit der Länder nicht widerspricht.</w:t>
      </w:r>
    </w:p>
    <w:p>
      <w:r>
        <w:t xml:space="preserve">(3) Die obersten Finanzbehörden des Bundes und der Länder überprüfen regelmäßig die Erfüllung der vereinbarten Vollzugsziele. Hierzu übermitteln die obersten Finanzbehörden der Länder dem Bundesministerium der Finanzen die erforderlichen Daten.</w:t>
      </w:r>
    </w:p>
    <w:p>
      <w:r>
        <w:t xml:space="preserve">(4) Vereinbarungen nach Absatz 2 sind für die obersten Finanzbehörden des Bundes und der Länder verbindlich.</w:t>
      </w:r>
    </w:p>
    <w:p>
      <w:r>
        <w:t xml:space="preserve">(5) Die Finanzbehörden der Länder wirken bei der Auswertung von Mitteilungen über grenzüberschreitende Steuergestaltungen nach § 138j Absatz 1 Satz 1 der Abgabenordnung durch das Bundeszentralamt für Steuern mit, soweit Steuern betroffen sind, die von den Ländern oder Gemeinden verwaltet werden.</w:t>
      </w:r>
    </w:p>
    <w:p>
      <w:r>
        <w:rPr>
          <w:color w:val="555555"/>
          <w:sz w:val="17"/>
        </w:rPr>
        <w:t xml:space="preserve">Zitiervorschlag: § 21a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