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FVG 1971 — Landesfinanzbehörden</w:t>
      </w:r>
    </w:p>
    <w:p>
      <w:r>
        <w:rPr>
          <w:color w:val="555555"/>
          <w:sz w:val="18"/>
        </w:rPr>
        <w:t xml:space="preserve">Finanzverwaltungsgesetz</w:t>
      </w:r>
    </w:p>
    <w:p>
      <w:r>
        <w:rPr>
          <w:color w:val="555555"/>
          <w:sz w:val="18"/>
        </w:rPr>
        <w:t xml:space="preserve">Stand: 25.01.2021 (konsolidierte Textfassung, kein amtliches Inkrafttretensdatum)</w:t>
      </w:r>
    </w:p>
    <w:p>
      <w:r>
        <w:t xml:space="preserve">(1) Landesfinanzbehörden sind</w:t>
      </w:r>
    </w:p>
    <w:p>
      <w:pPr>
        <w:ind w:left="420"/>
      </w:pPr>
      <w:r>
        <w:t xml:space="preserve">1. als oberste Behörde:die für die Finanzverwaltung zuständige oberste Landesbehörde;</w:t>
      </w:r>
    </w:p>
    <w:p>
      <w:pPr>
        <w:ind w:left="420"/>
      </w:pPr>
      <w:r>
        <w:t xml:space="preserve">2. Oberbehörden, soweit nach diesem Gesetz oder nach Landesrecht als Landesfinanzbehörden eingerichtet;</w:t>
      </w:r>
    </w:p>
    <w:p>
      <w:pPr>
        <w:ind w:left="420"/>
      </w:pPr>
      <w:r>
        <w:t xml:space="preserve">3. als Mittelbehörden, soweit eingerichtet:die Oberfinanzdirektionen; anstelle der Oberfinanzdirektionen können Oberbehörden nach Nummer 2 oder andere nach Landesrecht eingerichtete Mittelbehörden treten;</w:t>
      </w:r>
    </w:p>
    <w:p>
      <w:pPr>
        <w:ind w:left="420"/>
      </w:pPr>
      <w:r>
        <w:t xml:space="preserve">4. als örtliche Behörden:die Finanzämter.</w:t>
      </w:r>
    </w:p>
    <w:p>
      <w:r>
        <w:t xml:space="preserve">(2) Durch Rechtsverordnung der zuständigen Landesregierung kann ein Rechenzentrum der Landesfinanzverwaltung als Teil der für die Finanzverwaltung zuständigen obersten Landesbehörde, als Oberbehörde oder als Teil einer Oberbehörde, die nach Landesrecht als Landesfinanzbehörde nach Absatz 1 Nr. 2 oder 3 eingerichtet ist, als Teil einer Mittelbehörde, als Finanzamt oder als Teil eines Finanzamtes eingerichtet werden. Die Landesregierung kann die Ermächtigung durch Rechtsverordnung auf die für die Finanzverwaltung zuständige oberste Landesbehörde übertragen. Soweit ein Rechenzentrum der Finanzverwaltung eingerichtet ist, können ihm weitere Aufgaben, auch aus dem Geschäftsbereich einer anderen obersten Landesbehörde, übertragen werden.</w:t>
      </w:r>
    </w:p>
    <w:p>
      <w:r>
        <w:t xml:space="preserve">(3) Durch Rechtsverordnung der zuständigen Landesregierung können für Kassengeschäfte andere örtliche Landesbehörden zu Landesfinanzbehörden bestimmt werden (besondere Landesfinanzbehörden). Absatz 2 Satz 2 ist anzuwenden.</w:t>
      </w:r>
    </w:p>
    <w:p>
      <w:r>
        <w:rPr>
          <w:color w:val="555555"/>
          <w:sz w:val="17"/>
        </w:rPr>
        <w:t xml:space="preserve">Zitiervorschlag: § 2 FVG 1971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https://recht.nulegal.eu/gesetze/FVG%201971/2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