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FVG 1971 — Bezirk und Sitz der Hauptzollämter und Zollfahndungsämter sowie Aufgaben der Hauptzollämter</w:t>
      </w:r>
    </w:p>
    <w:p>
      <w:r>
        <w:rPr>
          <w:color w:val="555555"/>
          <w:sz w:val="18"/>
        </w:rPr>
        <w:t xml:space="preserve">Finanzverwaltungsgesetz</w:t>
      </w:r>
    </w:p>
    <w:p>
      <w:r>
        <w:rPr>
          <w:color w:val="555555"/>
          <w:sz w:val="18"/>
        </w:rPr>
        <w:t xml:space="preserve">Stand: 10.06.2019 (konsolidierte Textfassung, kein amtliches Inkrafttretensdatum)</w:t>
      </w:r>
    </w:p>
    <w:p>
      <w:r>
        <w:t xml:space="preserve">(1) Die Generalzolldirektion bestimmt den Bezirk und den Sitz der Hauptzollämter und der Zollfahndungsämter.</w:t>
      </w:r>
    </w:p>
    <w:p>
      <w:r>
        <w:t xml:space="preserve">(2) Die Hauptzollämter sind als örtliche Bundesbehörden für die Verwaltung der Zölle, der bundesgesetzlich geregelten Verbrauchsteuern einschließlich der Einfuhrumsatzsteuer und der Biersteuer, der Luftverkehrsteuer, der Kraftfahrzeugsteuer, der Abgaben im Rahmen der Europäischen Gemeinschaften, für die zollamtliche Überwachung des Warenverkehrs über die Grenze, für die Grenzaufsicht, für die Bekämpfung der Schwarzarbeit und der illegalen Beschäftigung und für die ihnen sonst übertragenen Aufgaben zuständig.</w:t>
      </w:r>
    </w:p>
    <w:p>
      <w:r>
        <w:t xml:space="preserve">(3) Das Bundesministerium der Finanzen kann durch Rechtsverordnung ohne Zustimmung des Bundesrates die Zuständigkeit eines Hauptzollamts nach Absatz 2 auf einzelne Aufgaben beschränken oder Zuständigkeiten nach Absatz 2 einem Hauptzollamt für den Bereich mehrerer Hauptzollämter übertragen, wenn dadurch der Vollzug der Aufgaben verbessert oder erleichtert wird. Das Bundesministerium der Finanzen kann die Ermächtigung nach Satz 1 durch Rechtsverordnung auf die Generalzolldirektion übertragen.</w:t>
      </w:r>
    </w:p>
    <w:p>
      <w:r>
        <w:t xml:space="preserve">(4) (weggefallen)</w:t>
      </w:r>
    </w:p>
    <w:p>
      <w:r>
        <w:rPr>
          <w:color w:val="555555"/>
          <w:sz w:val="17"/>
        </w:rPr>
        <w:t xml:space="preserve">Zitiervorschlag: § 12 FVG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https://recht.nulegal.eu/gesetze/FVG%201971/12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