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FVEÜV (Brandenburg) — Inkrafttreten</w:t>
      </w:r>
    </w:p>
    <w:p>
      <w:r>
        <w:rPr>
          <w:color w:val="555555"/>
          <w:sz w:val="18"/>
        </w:rPr>
        <w:t xml:space="preserve">Finanzverwaltung-Ermächtigungsübertragungsverordnung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 nach der Verkündung in Kraft. Gleichzeitig tritt die Verordnung über die Übertragung von Ermächtigungen zum Erlass von Rechtsverordnungen im Bereich der Finanzverwaltung auf den Minister der Finanzen vom 23. August 1991 ( GVBl. II S. 390), die zuletzt durch Verordnung vom 20. November 2017 (GVBl. II Nr. 63) geändert worden ist, außer Kraft.</w:t>
      </w:r>
    </w:p>
    <w:p>
      <w:r>
        <w:t xml:space="preserve">Einzelnorm</w:t>
      </w:r>
    </w:p>
    <w:p>
      <w:r>
        <w:t xml:space="preserve">Potsdam, den 16. September 2019</w:t>
      </w:r>
    </w:p>
    <w:p>
      <w:r>
        <w:t xml:space="preserve">Die Landesregierung</w:t>
      </w:r>
    </w:p>
    <w:p>
      <w:r>
        <w:t xml:space="preserve">des Landes Brandenburg</w:t>
      </w:r>
    </w:p>
    <w:p>
      <w:r>
        <w:t xml:space="preserve">Der Ministerpräsident</w:t>
      </w:r>
    </w:p>
    <w:p>
      <w:r>
        <w:t xml:space="preserve">Dr. Dietmar Woidke</w:t>
      </w:r>
    </w:p>
    <w:p>
      <w:r>
        <w:t xml:space="preserve">Der Minister der Finanzen</w:t>
      </w:r>
    </w:p>
    <w:p>
      <w:r>
        <w:t xml:space="preserve">Christian Görke</w:t>
      </w:r>
    </w:p>
    <w:p>
      <w:r>
        <w:rPr>
          <w:color w:val="555555"/>
          <w:sz w:val="17"/>
        </w:rPr>
        <w:t xml:space="preserve">Zitiervorschlag: § 2 FVEÜV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https://recht.nulegal.eu/gesetze/FVE%C3%9CV/2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