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FVEÜV (Brandenburg) — Übertragung von Ermächtigungen</w:t>
      </w:r>
    </w:p>
    <w:p>
      <w:r>
        <w:rPr>
          <w:color w:val="555555"/>
          <w:sz w:val="18"/>
        </w:rPr>
        <w:t xml:space="preserve">Finanzverwaltung-Ermächtigungsübertragungsverordnung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Ermächtigungen zum Erlass von Rechtsverordnungen aufgrund</w:t>
      </w:r>
    </w:p>
    <w:p>
      <w:r>
        <w:t xml:space="preserve">des § 2 Absatz 2 Satz 1, Absatz 3 Satz 1, § 5 Absatz 1 Nummer 11 Satz 8 sowie § 17 Absatz 2 Satz 3 und Absatz 3 Satz 1 des Finanzverwaltungsgesetzes,</w:t>
      </w:r>
    </w:p>
    <w:p>
      <w:r>
        <w:t xml:space="preserve">des § 19 Absatz 5 Satz 1 und § 88b Absatz 3 Satz 1 der Abgabenordnung,</w:t>
      </w:r>
    </w:p>
    <w:p>
      <w:r>
        <w:t xml:space="preserve">des § 387 Absatz 2 Satz 1 und 2 und § 409 Satz 2 der Abgabenordnung auch in Verbindung mit § 14 Absatz 3 Satz 2 des Fünften Vermögensbildungsgesetzes, § 8 Absatz 2 Satz 2 des Wohnungsbau-Prämiengesetzes, der §§ 20 und 29a Absatz 2 des Berlinförderungsgesetzes, § 164 Satz 1 des Steuerberatungsgesetzes und § 131 Absatz 3 des Gesetzes über Ordnungswidrigkeiten,</w:t>
      </w:r>
    </w:p>
    <w:p>
      <w:r>
        <w:t xml:space="preserve">des § 31 Absatz 2 Satz 1 des Steuerberatungsgesetzes,</w:t>
      </w:r>
    </w:p>
    <w:p>
      <w:r>
        <w:t xml:space="preserve">des § 32 Absatz 2 Satz 1 der Strafprozessordnung für seinen Geschäftsbereich,</w:t>
      </w:r>
    </w:p>
    <w:p>
      <w:r>
        <w:t xml:space="preserve">des § 110a Absatz 2 Satz 1 des Gesetzes über Ordnungswidrigkeiten für seinen Geschäftsbereich</w:t>
      </w:r>
    </w:p>
    <w:p>
      <w:r>
        <w:t xml:space="preserve">werden auf den Minister der Finanzen übertragen.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FVEÜV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https://recht.nulegal.eu/gesetze/FVE%C3%9CV/1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