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FUKV (Brandenburg) — Übergangsvorschriften</w:t>
      </w:r>
    </w:p>
    <w:p>
      <w:r>
        <w:rPr>
          <w:color w:val="555555"/>
          <w:sz w:val="18"/>
        </w:rPr>
        <w:t xml:space="preserve">Verordnung zur Errichtung der Feuerwehr-Unfallkasse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 der Errichtung der Feuerwehr-Unfallkasse Brandenburg</w:t>
      </w:r>
    </w:p>
    <w:p>
      <w:r>
        <w:t xml:space="preserve">wird der Gemeindeunfallversicherungsverband Brandenburg beauftragt.</w:t>
      </w:r>
    </w:p>
    <w:p>
      <w:r>
        <w:t xml:space="preserve">(2) Bis zur satzungsmäßigen Festlegung beträgt</w:t>
      </w:r>
    </w:p>
    <w:p>
      <w:r>
        <w:t xml:space="preserve">die vorläufige Zahl der ehrenamtlichen Mitglieder der Vertreterversammlung</w:t>
      </w:r>
    </w:p>
    <w:p>
      <w:r>
        <w:t xml:space="preserve">der Kasse zehn Personen, die zu gleichen Teilen Arbeitgeber und Versicherte</w:t>
      </w:r>
    </w:p>
    <w:p>
      <w:r>
        <w:t xml:space="preserve">vertreten.</w:t>
      </w:r>
    </w:p>
    <w:p>
      <w:r>
        <w:rPr>
          <w:color w:val="555555"/>
          <w:sz w:val="17"/>
        </w:rPr>
        <w:t xml:space="preserve">Zitiervorschlag: § 4 FUKV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https://recht.nulegal.eu/gesetze/FUKV/4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