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FUKV (Brandenburg) — Aufbringung der Mittel</w:t>
      </w:r>
    </w:p>
    <w:p>
      <w:r>
        <w:rPr>
          <w:color w:val="555555"/>
          <w:sz w:val="18"/>
        </w:rPr>
        <w:t xml:space="preserve">Verordnung zur Errichtung der Feuerwehr-Unfallkasse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Mittel für die Aufgaben der Feuerwehr-Unfallkasse</w:t>
      </w:r>
    </w:p>
    <w:p>
      <w:r>
        <w:t xml:space="preserve">Brandenburg werden durch jährliche Beiträge (Umlagen) der Mitglieder</w:t>
      </w:r>
    </w:p>
    <w:p>
      <w:r>
        <w:t xml:space="preserve">aufgebracht (§ 20 des Vierten Buches Sozialgesetzbuch; §§ 723,</w:t>
      </w:r>
    </w:p>
    <w:p>
      <w:r>
        <w:t xml:space="preserve">770 der Reichsversicherungsordnung). Das Nähere regelt die Satzung.</w:t>
      </w:r>
    </w:p>
    <w:p>
      <w:r>
        <w:t xml:space="preserve">(2) Soweit der Gemeindeunfallversicherungsverband Brandenburg</w:t>
      </w:r>
    </w:p>
    <w:p>
      <w:r>
        <w:t xml:space="preserve">die Geschäfte der Feuerwehr-Unfallkasse Brandenburg führt, sind die</w:t>
      </w:r>
    </w:p>
    <w:p>
      <w:r>
        <w:t xml:space="preserve">hieraus entstehenden Kosten und Auslagen von der Feuerwehr-Unfallkasse zu</w:t>
      </w:r>
    </w:p>
    <w:p>
      <w:r>
        <w:t xml:space="preserve">tragen. Die Erstattung erfolgt nach einem vom Ministerium für Arbeit,</w:t>
      </w:r>
    </w:p>
    <w:p>
      <w:r>
        <w:t xml:space="preserve">Soziales, Gesundheit und Frauen festzulegenden Schlüssel.</w:t>
      </w:r>
    </w:p>
    <w:p>
      <w:r>
        <w:rPr>
          <w:color w:val="555555"/>
          <w:sz w:val="17"/>
        </w:rPr>
        <w:t xml:space="preserve">Zitiervorschlag: § 3 FUKV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https://recht.nulegal.eu/gesetze/FUKV/3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