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FUKV (Brandenburg) — Aufgaben der Feuerwehr-Unfallkasse</w:t>
      </w:r>
    </w:p>
    <w:p>
      <w:r>
        <w:rPr>
          <w:color w:val="555555"/>
          <w:sz w:val="18"/>
        </w:rPr>
        <w:t xml:space="preserve">Verordnung zur Errichtung der Feuerwehr-Unfallkasse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Feuerwehr-Unfallkasse Brandenburg ist Träger der</w:t>
      </w:r>
    </w:p>
    <w:p>
      <w:r>
        <w:t xml:space="preserve">gesetzlichen Unfallversicherung für die Unternehmen der Feuerwehren</w:t>
      </w:r>
    </w:p>
    <w:p>
      <w:r>
        <w:t xml:space="preserve">einschließlich des Brandschutzdienstes im erweiterten Katastrophenschutz</w:t>
      </w:r>
    </w:p>
    <w:p>
      <w:r>
        <w:t xml:space="preserve">des Landes Brandenburg (§ 539 Abs. 1 Nr. 1, 8 und 12 Buchstabe a der</w:t>
      </w:r>
    </w:p>
    <w:p>
      <w:r>
        <w:t xml:space="preserve">Reichsversicherungsordnung).</w:t>
      </w:r>
    </w:p>
    <w:p>
      <w:r>
        <w:rPr>
          <w:color w:val="555555"/>
          <w:sz w:val="17"/>
        </w:rPr>
        <w:t xml:space="preserve">Zitiervorschlag: § 2 FUKV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https://recht.nulegal.eu/gesetze/FUKV/2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