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FUENFZEHNTER_RUNDFUNKAEND_STV (Brandenburg)</w:t>
      </w:r>
    </w:p>
    <w:p>
      <w:r>
        <w:rPr>
          <w:color w:val="555555"/>
          <w:sz w:val="18"/>
        </w:rPr>
        <w:t xml:space="preserve">Gesetz zu dem Fünfzehnten Staatsvertrag zur Änderung rundfunkrechtlicher Staatsverträge (Fünfzehnter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7 Absatz 2 Satz 1 vorbehaltlich des Satzes 2 am 1. Januar 2013 in Kraft. § 14 Absatz 1, 2 und 6 des Rundfunkbeitragsstaatsvertrages tritt nach Artikel 7 Absatz 2 Satz 2 des Staatsvertrages am 1. Januar 2012 in Kraft. Sollte der Staatsvertrag nach seinem Artikel 7 Absatz 2 Satz 3 gegenstandslos werden, ist dies unverzüglich im Gesetz- und Verordnungsblatt für das Land Brandenburg Teil I bekannt zu geben.</w:t>
      </w:r>
    </w:p>
    <w:p>
      <w:r>
        <w:t xml:space="preserve">Potsdam, den 9. Juni 2011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Rundfunkbeitragsstaatsvertrag</w:t>
      </w:r>
    </w:p>
    <w:p>
      <w:r>
        <w:t xml:space="preserve">zum Staatsvertrag - Rundfunkstaatsvertrag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§ 2 FUENFZEHNTER_RUNDFUNKAEND_STV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https://recht.nulegal.eu/gesetze/FUENFZEHNTER_RUNDFUNKAEND_STV/2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