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FTGZüV (Brandenburg) — Inkrafttreten</w:t>
      </w:r>
    </w:p>
    <w:p>
      <w:r>
        <w:rPr>
          <w:color w:val="555555"/>
          <w:sz w:val="18"/>
        </w:rPr>
        <w:t xml:space="preserve">Verordnung zur Übertragung der Zuständigkeit nach § 8 Satz 1 des Feiertagsgesetzes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18. Januar 2007</w:t>
      </w:r>
    </w:p>
    <w:p>
      <w:r>
        <w:t xml:space="preserve">Der Minister des Innern</w:t>
      </w:r>
    </w:p>
    <w:p>
      <w:r>
        <w:t xml:space="preserve">Jörg Schönbohm</w:t>
      </w:r>
    </w:p>
    <w:p>
      <w:r>
        <w:rPr>
          <w:color w:val="555555"/>
          <w:sz w:val="17"/>
        </w:rPr>
        <w:t xml:space="preserve">Zitiervorschlag: § 2 FTGZüV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https://recht.nulegal.eu/gesetze/FTGZ%C3%BCV/2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