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FTGZüV (Brandenburg) — Zuständigkeitsübertragung</w:t>
      </w:r>
    </w:p>
    <w:p>
      <w:r>
        <w:rPr>
          <w:color w:val="555555"/>
          <w:sz w:val="18"/>
        </w:rPr>
        <w:t xml:space="preserve">Verordnung zur Übertragung der Zuständigkeit nach § 8 Satz 1 des Feiertagsgesetzes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Zuständigkeit nach § 8 Satz 1 des Feiertagsgesetzes, beim</w:t>
      </w:r>
    </w:p>
    <w:p>
      <w:r>
        <w:t xml:space="preserve">Vorliegen eines dringenden Bedürfnisses Ausnahmen von den Verboten der</w:t>
      </w:r>
    </w:p>
    <w:p>
      <w:r>
        <w:t xml:space="preserve">§§ 3, 5 und 6 des Feiertagsgesetzes zuzulassen, wird auf die</w:t>
      </w:r>
    </w:p>
    <w:p>
      <w:r>
        <w:t xml:space="preserve">örtlichen Ordnungsbehörden übertragen.</w:t>
      </w:r>
    </w:p>
    <w:p>
      <w:r>
        <w:rPr>
          <w:color w:val="555555"/>
          <w:sz w:val="17"/>
        </w:rPr>
        <w:t xml:space="preserve">Zitiervorschlag: § 1 FTGZüV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https://recht.nulegal.eu/gesetze/FTGZ%C3%BCV/1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