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FTG (Brandenburg) — Ordnungswidrigkeiten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</w:t>
      </w:r>
    </w:p>
    <w:p>
      <w:r>
        <w:t xml:space="preserve">entgegen § 3 Arbeiten ausführt oder Handlungen vornimmt,</w:t>
      </w:r>
    </w:p>
    <w:p>
      <w:r>
        <w:t xml:space="preserve">entgegen § 5 oder § 6 Veranstaltungen durchführt oder Handlungen vornimmt,</w:t>
      </w:r>
    </w:p>
    <w:p>
      <w:r>
        <w:t xml:space="preserve">einer Verordnung nach § 2 Abs. 3 zuwiderhandelt,</w:t>
      </w:r>
    </w:p>
    <w:p>
      <w:r>
        <w:t xml:space="preserve">als Arbeitgeber entgegen § 7 an religiösen Feiertagen den in einem Beschäftigungs- oder Ausbildungsverhältnis stehenden Angehörigen der betreffenden Kirche oder anerkannten Religionsgesellschaft keine Gelegenheit zum Besuch des Gottesdienstes gibt.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die örtliche Ordnungsbehörde.</w:t>
      </w:r>
    </w:p>
    <w:p>
      <w:r>
        <w:rPr>
          <w:color w:val="555555"/>
          <w:sz w:val="17"/>
        </w:rPr>
        <w:t xml:space="preserve">Zitiervorschlag: § 10 FTG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