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FTG (Brandenburg) — Allgemeines</w:t>
      </w:r>
    </w:p>
    <w:p>
      <w:r>
        <w:rPr>
          <w:color w:val="555555"/>
          <w:sz w:val="18"/>
        </w:rPr>
        <w:t xml:space="preserve">Feiertagsgesetz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Sonntage und gesetzlich anerkannte Feiertage werden nach Maßgabe dieses Gesetzes geschützt.</w:t>
      </w:r>
    </w:p>
    <w:p>
      <w:r>
        <w:t xml:space="preserve">(2) Der Feiertagsschutz gilt von 0 Uhr bis 24 Uhr, soweit im einzelnen nichts Abweichendes bestimmt ist.</w:t>
      </w:r>
    </w:p>
    <w:p>
      <w:r>
        <w:rPr>
          <w:color w:val="555555"/>
          <w:sz w:val="17"/>
        </w:rPr>
        <w:t xml:space="preserve">Zitiervorschlag: § 1 FTG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https://recht.nulegal.eu/gesetze/FTG/1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