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FStrPrivFinG — Schuldner der Mautgebühr</w:t>
      </w:r>
    </w:p>
    <w:p>
      <w:r>
        <w:rPr>
          <w:color w:val="555555"/>
          <w:sz w:val="18"/>
        </w:rPr>
        <w:t xml:space="preserve">Fernstraßenbauprivatfinanzierungsgesetz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Schuldner der Mautgebühr (Schuldner) ist, wer</w:t>
      </w:r>
    </w:p>
    <w:p>
      <w:pPr>
        <w:ind w:left="420"/>
      </w:pPr>
      <w:r>
        <w:t xml:space="preserve">1. über den Gebrauch des Fahrzeuges bestimmt,</w:t>
      </w:r>
    </w:p>
    <w:p>
      <w:pPr>
        <w:ind w:left="420"/>
      </w:pPr>
      <w:r>
        <w:t xml:space="preserve">2. das Fahrzeug führt,</w:t>
      </w:r>
    </w:p>
    <w:p>
      <w:pPr>
        <w:ind w:left="420"/>
      </w:pPr>
      <w:r>
        <w:t xml:space="preserve">3. Halter des Fahrzeuges ist.</w:t>
      </w:r>
    </w:p>
    <w:p>
      <w:r>
        <w:t xml:space="preserve">Mehrere Schuldner haften als Gesamtschuldner.</w:t>
      </w:r>
    </w:p>
    <w:p>
      <w:r>
        <w:rPr>
          <w:color w:val="555555"/>
          <w:sz w:val="17"/>
        </w:rPr>
        <w:t xml:space="preserve">Zitiervorschlag: § 8 FStrPrivFinG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