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FStrPrivFinG — Befreiungen</w:t>
      </w:r>
    </w:p>
    <w:p>
      <w:r>
        <w:rPr>
          <w:color w:val="555555"/>
          <w:sz w:val="18"/>
        </w:rPr>
        <w:t xml:space="preserve">Fernstraßenbauprivatfinanzierungsgesetz</w:t>
      </w:r>
    </w:p>
    <w:p>
      <w:r>
        <w:rPr>
          <w:color w:val="555555"/>
          <w:sz w:val="18"/>
        </w:rPr>
        <w:t xml:space="preserve">Stand: 10.06.2019 (konsolidierte Textfassung, kein amtliches Inkrafttretensdatum)</w:t>
      </w:r>
    </w:p>
    <w:p>
      <w:r>
        <w:t xml:space="preserve">Von der Mautgebühr sind Fahrzeuge der Streitkräfte, des Zivil- und Katastrophenschutzes, der Feuerwehr und anderer Notdienste, der Polizeien des Bundes und der Länder, der Zollverwaltung und des Straßenunterhaltungs- oder Straßenbetriebsdienstes befreit. Voraussetzung für die Mautgebührenbefreiung ist, dass die Fahrzeuge als für die genannten Zwecke bestimmt erkennbar sind oder als solche zweifelsfrei ausgewiesen werden können. Im Falle von Fahrzeugkombinationen ist das Motorfahrzeug für die Mautgebührenbefreiung maßgebend.</w:t>
      </w:r>
    </w:p>
    <w:p>
      <w:r>
        <w:rPr>
          <w:color w:val="555555"/>
          <w:sz w:val="17"/>
        </w:rPr>
        <w:t xml:space="preserve">Zitiervorschlag: § 7 FStrPrivFinG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https://recht.nulegal.eu/gesetze/FStrPrivFinG/7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