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FStrPrivFinG — Mautgebührengenehmigung</w:t>
      </w:r>
    </w:p>
    <w:p>
      <w:r>
        <w:rPr>
          <w:color w:val="555555"/>
          <w:sz w:val="18"/>
        </w:rPr>
        <w:t xml:space="preserve">Fernstraßenbauprivatfinanzierungsgesetz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Erklärt der Private im Falle des § 2 Abs. 2 oder beantragt der Private im Falle des § 2 Abs. 3 die Mautgebühr als Entgelt zu erheben, so bedarf die Höhe der Mautgebühr für die in einer Rechtsverordnung nach § 3 Absatz 1 Satz 2 jeweils festgelegte Strecke im Zuge einer Bundesstraße, soweit nicht dem Bund die Verwaltung der Bundesstraße zusteht, der Genehmigung der zuständigen obersten Landesstraßenbaubehörde und für die in einer Rechtsverordnung nach § 3 Absatz 1 Satz 2 jeweils festgelegte Strecke im Zuge einer Bundesfernstraße, für die dem Bund die Verwaltung der Bundesfernstraße zusteht, der Genehmigung des Fernstraßen-Bundesamtes.</w:t>
      </w:r>
    </w:p>
    <w:p>
      <w:r>
        <w:t xml:space="preserve">(2) Die Genehmigung ist zu erteilen, wenn</w:t>
      </w:r>
    </w:p>
    <w:p>
      <w:pPr>
        <w:ind w:left="420"/>
      </w:pPr>
      <w:r>
        <w:t xml:space="preserve">1. die Strecke in einer Rechtsverordnung nach § 3 Abs. 1 Satz 2 festgelegt ist und</w:t>
      </w:r>
    </w:p>
    <w:p>
      <w:pPr>
        <w:ind w:left="420"/>
      </w:pPr>
      <w:r>
        <w:t xml:space="preserve">2. bei der Berechnung der Mautgebühr die Maßstäbe nach § 3 Abs. 2 bis 5 und der Rechtsverordnung nach § 4 eingehalten sind.</w:t>
      </w:r>
    </w:p>
    <w:p>
      <w:r>
        <w:t xml:space="preserve">§ 5 Abs. 1 Satz 4 gilt entsprechend.</w:t>
      </w:r>
    </w:p>
    <w:p>
      <w:r>
        <w:t xml:space="preserve">(3) Der Private kann für die in einer Rechtsverordnung nach § 3 Absatz 1 Satz 2 jeweils festgelegte Strecke im Zuge einer Bundesstraße, soweit nicht dem Bund die Verwaltung der Bundesstraße zusteht, jederzeit bei der obersten Landesstraßenbaubehörde und für die in einer Rechtsverordnung nach § 3 Absatz 1 Satz 2 jeweils festgelegte Strecke im Zuge einer Bundesfernstraße, für die dem Bund die Verwaltung der Bundesfernstraße zusteht, beim Fernstraßen-Bundesamt beantragen, eine neue Mautgebühr zu genehmigen. Der Private hat einen Anspruch auf die Genehmigung, soweit sich die der genehmigten Mautgebühr zu Grunde liegenden Tatsachen wesentlich geändert haben.</w:t>
      </w:r>
    </w:p>
    <w:p>
      <w:r>
        <w:t xml:space="preserve">(4) Vor Erteilung der Genehmigung hat die oberste Landesstraßenbaubehörde oder das Fernstraßen-Bundesamt die Zustimmung des Bundesministeriums für Verkehr und digitale Infrastruktur einzuholen.</w:t>
      </w:r>
    </w:p>
    <w:p>
      <w:r>
        <w:t xml:space="preserve">(5) Die Genehmigung kann unbeschadet der verwaltungsverfahrensrechtlichen Vorschriften über Rücknahme und Widerruf auch widerrufen werden, wenn der Private den Widerruf beantragt.</w:t>
      </w:r>
    </w:p>
    <w:p>
      <w:r>
        <w:rPr>
          <w:color w:val="555555"/>
          <w:sz w:val="17"/>
        </w:rPr>
        <w:t xml:space="preserve">Zitiervorschlag: § 6 FStrPrivFinG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https://recht.nulegal.eu/gesetze/FStrPrivFinG/6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