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FStrPrivFinG — Mautgebührenverordnung</w:t>
      </w:r>
    </w:p>
    <w:p>
      <w:r>
        <w:rPr>
          <w:color w:val="555555"/>
          <w:sz w:val="18"/>
        </w:rPr>
        <w:t xml:space="preserve">Fernstraßenbauprivatfinanzierungsgesetz</w:t>
      </w:r>
    </w:p>
    <w:p>
      <w:r>
        <w:rPr>
          <w:color w:val="555555"/>
          <w:sz w:val="18"/>
        </w:rPr>
        <w:t xml:space="preserve">Stand: 01.01.2021 (konsolidierte Textfassung, kein amtliches Inkrafttretensdatum)</w:t>
      </w:r>
    </w:p>
    <w:p>
      <w:r>
        <w:t xml:space="preserve">(1) Die Landesregierungen werden ermächtigt, durch Rechtsverordnung für die in einer Rechtsverordnung nach § 3 Abs. 1 Satz 2 jeweils festgelegte Strecke im Zuge einer Bundesstraße, soweit nicht dem Bund die Verwaltung der Bundesstraße zusteht, die Höhe der Mautgebühr unter Beachtung des § 3 Abs. 2 bis 5 und der Rechtsverordnung nach § 4 zu bestimmen, soweit</w:t>
      </w:r>
    </w:p>
    <w:p>
      <w:pPr>
        <w:ind w:left="420"/>
      </w:pPr>
      <w:r>
        <w:t xml:space="preserve">1. der Private im Falle des § 2 Absatz 2 Satz 1 und 3 erklärt oder im Falle des § 2 Abs. 3 beantragt hat, die Mautgebühr als Gebühr zu erheben oder</w:t>
      </w:r>
    </w:p>
    <w:p>
      <w:pPr>
        <w:ind w:left="420"/>
      </w:pPr>
      <w:r>
        <w:t xml:space="preserve">2. der Fall des § 2 Absatz 2 Satz 4 eingetreten ist.</w:t>
      </w:r>
    </w:p>
    <w:p>
      <w:r>
        <w:t xml:space="preserve">Sie können diese Ermächtigung durch Rechtsverordnung auf die oberste Landesstraßenbaubehörde übertragen. Der Private erwirbt mit Auftragserteilung einen Anspruch auf Erlass der Rechtsverordnung nach Satz 1. Solange die ansatzfähigen Kosten noch nicht abschließend feststehen, erfolgt die Festsetzung der Mautgebühren in der Rechtsverordnung nach Satz 1 auf der Basis der nach der Angebotskalkulation des Privaten ansatzfähigen Kosten, die um die bereits nachgewiesenen Kosten aktualisiert wurden; der Nachweis erfolgt durch prüfbare Aufstellung der Kosten, die eine rasche und sichere Beurteilung ermöglichen muss.</w:t>
      </w:r>
    </w:p>
    <w:p>
      <w:r>
        <w:t xml:space="preserve">(2) Das Bundesministerium für Verkehr und digitale Infrastruktur wird ermächtigt, durch Rechtsverordnung ohne Zustimmung des Bundesrates für die in einer Rechtsverordnung nach § 3 Absatz 1 Satz 2 jeweils festgelegte Strecke im Zuge einer Bundesfernstraße, für die dem Bund die Verwaltung der Bundesfernstraße zusteht, die Höhe der Mautgebühr unter Beachtung des § 3 Absatz 2 bis 5 und der Rechtsverordnung nach § 4 zu bestimmen, soweit</w:t>
      </w:r>
    </w:p>
    <w:p>
      <w:pPr>
        <w:ind w:left="420"/>
      </w:pPr>
      <w:r>
        <w:t xml:space="preserve">1. der Private im Falle des § 2 Absatz 2 Satz 2 und 3 erklärt oder im Falle des § 2 Absatz 3 beantragt hat, die Mautgebühr als Gebühr zu erheben oder</w:t>
      </w:r>
    </w:p>
    <w:p>
      <w:pPr>
        <w:ind w:left="420"/>
      </w:pPr>
      <w:r>
        <w:t xml:space="preserve">2. der Fall des § 2 Absatz 2 Satz 4 eingetreten ist.</w:t>
      </w:r>
    </w:p>
    <w:p>
      <w:r>
        <w:t xml:space="preserve">Es kann diese Ermächtigung durch Rechtsverordnung auf das Fernstraßen-Bundesamt übertragen. Absatz 1 Satz 3 und 4 gilt entsprechend.</w:t>
      </w:r>
    </w:p>
    <w:p>
      <w:r>
        <w:t xml:space="preserve">(3) Der Private kann im Falle des Absatzes 1 jederzeit bei der Landesregierung und im Falle des Absatzes 2 jederzeit beim Bundesministerium für Verkehr und digitale Infrastruktur beantragen, die Bestimmung der Höhe der Mautgebühr durch Rechtsverordnung nach Absatz 1 Satz 1 oder Absatz 2 Satz 1 zu ändern. Der Private hat einen Anspruch auf Erlass der Rechtsverordnung, soweit sich die der geltenden Bestimmung der Höhe der Mautgebühr zu Grunde liegenden Tatsachen wesentlich geändert haben. Im Falle einer Rechtsverordnung nach Absatz 1 Satz 2 ist der Antrag an die oberste Landesstraßenbaubehörde zu richten.</w:t>
      </w:r>
    </w:p>
    <w:p>
      <w:r>
        <w:rPr>
          <w:color w:val="555555"/>
          <w:sz w:val="17"/>
        </w:rPr>
        <w:t xml:space="preserve">Zitiervorschlag: § 5 FStrPrivFinG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