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FStrPrivFinG — Übergangsregelung</w:t>
      </w:r>
    </w:p>
    <w:p>
      <w:r>
        <w:rPr>
          <w:color w:val="555555"/>
          <w:sz w:val="18"/>
        </w:rPr>
        <w:t xml:space="preserve">Fernstraßenbauprivatfinanzierungsgesetz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Vorbehaltlich des Absatzes 2 sind Rechtsverordnungen auf Grund des § 3a Abs. 2 in Verbindung mit § 3 Abs. 2 bis 5 in der jeweils bis zum 7. September 2005 geltenden Fassung weiter anzuwenden.</w:t>
      </w:r>
    </w:p>
    <w:p>
      <w:r>
        <w:t xml:space="preserve">(2) Eine auf Grund des § 3a Abs. 2 in Verbindung mit § 3 Abs. 2 bis 5 in der jeweils bis zum 7. September 2005 geltenden Fassung erlassene Rechtsverordnung ist ab dem Tag, an dem</w:t>
      </w:r>
    </w:p>
    <w:p>
      <w:pPr>
        <w:ind w:left="420"/>
      </w:pPr>
      <w:r>
        <w:t xml:space="preserve">1. eine auf Grund des § 5 Abs. 1 erlassene Rechtsverordnung über die Höhe der Gebühr in Kraft tritt oder</w:t>
      </w:r>
    </w:p>
    <w:p>
      <w:pPr>
        <w:ind w:left="420"/>
      </w:pPr>
      <w:r>
        <w:t xml:space="preserve">2. eine nach § 6 Abs. 1 erteilte Genehmigung über die Höhe des Entgelts wirksam wird,</w:t>
      </w:r>
    </w:p>
    <w:p>
      <w:r>
        <w:t xml:space="preserve">nicht mehr anzuwenden. Die zuständige oberste Landesstraßenbaubehörde hat den nach Satz 1 maßgeblichen Tag im Bundesanzeiger bekannt zu machen.</w:t>
      </w:r>
    </w:p>
    <w:p>
      <w:r>
        <w:t xml:space="preserve">(3) Das Bundesministerium für Verkehr und digitale Infrastruktur wird ermächtigt, durch Rechtsverordnung ohne Zustimmung des Bundesrates eine auf Grund des § 3a Abs. 2 in Verbindung mit § 3 Abs. 2 bis 5 in der jeweils bis zum 7. September 2005 geltenden Fassung erlassene Rechtsverordnung, die nach Absatz 2 Satz 1 nicht mehr anzuwenden ist, aufzuheben.</w:t>
      </w:r>
    </w:p>
    <w:p>
      <w:r>
        <w:rPr>
          <w:color w:val="555555"/>
          <w:sz w:val="17"/>
        </w:rPr>
        <w:t xml:space="preserve">Zitiervorschlag: § 13 FStrPrivFinG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https://recht.nulegal.eu/gesetze/FStrPrivFinG/13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