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FStrPrivFinG — Bußgeldvorschriften</w:t>
      </w:r>
    </w:p>
    <w:p>
      <w:r>
        <w:rPr>
          <w:color w:val="555555"/>
          <w:sz w:val="18"/>
        </w:rPr>
        <w:t xml:space="preserve">Fernstraßenbauprivatfinanzierungsgesetz</w:t>
      </w:r>
    </w:p>
    <w:p>
      <w:r>
        <w:rPr>
          <w:color w:val="555555"/>
          <w:sz w:val="18"/>
        </w:rPr>
        <w:t xml:space="preserve">Historische Fassung: Stand 10.06.2019 bis 02.12.2019. Dies ist nicht die aktuelle Fassung.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9 Abs. 1 in Verbindung mit einer Rechtsverordnung nach § 5 Abs. 1 Satz 1 oder einer Genehmigung nach § 6 Abs. 1 die Mautgebühr nicht oder nicht rechtzeitig entrichtet,</w:t>
      </w:r>
    </w:p>
    <w:p>
      <w:pPr>
        <w:ind w:left="420"/>
      </w:pPr>
      <w:r>
        <w:t xml:space="preserve">2. entgegen § 9 Abs. 3 Satz 1, auch in Verbindung mit einer Rechtsverordnung nach Abs. 6, jeweils auch in Verbindung mit Abs. 5 Satz 2, Daten erhebt oder verarbeitet, oder</w:t>
      </w:r>
    </w:p>
    <w:p>
      <w:pPr>
        <w:ind w:left="420"/>
      </w:pPr>
      <w:r>
        <w:t xml:space="preserve">3. entgegen § 11 Abs. 1 oder 2 Daten nicht oder nicht rechtzeitig löscht.</w:t>
      </w:r>
    </w:p>
    <w:p>
      <w:r>
        <w:t xml:space="preserve">(2) Die Ordnungswidrigkeit kann in den Fällen des Absatzes 1 Nr. 1 mit einer Geldbuße bis zu tausend Euro, in den übrigen Fällen mit einer Geldbuße bis zu zweihunderttausend Euro geahndet werden.</w:t>
      </w:r>
    </w:p>
    <w:p>
      <w:r>
        <w:rPr>
          <w:color w:val="555555"/>
          <w:sz w:val="17"/>
        </w:rPr>
        <w:t xml:space="preserve">Zitiervorschlag: § 12 FStrPrivFinG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https://recht.nulegal.eu/gesetze/FStrPrivFinG/12?asof=2019-06-10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FStrPrivFinG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