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FStrPrivFinG — Bußgeldvorschriften</w:t>
      </w:r>
    </w:p>
    <w:p>
      <w:r>
        <w:rPr>
          <w:color w:val="555555"/>
          <w:sz w:val="18"/>
        </w:rPr>
        <w:t xml:space="preserve">Fernstraßenbauprivatfinanzierungsgesetz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Ordnungswidrig handelt, wer vorsätzlich oder fahrlässig entgegen § 9 Absatz 1 in Verbindung mit einer Rechtsverordnung nach § 5 Absatz 1 Satz 1 oder einer Genehmigung nach § 6 Absatz 1 die Mautgebühr nicht oder nicht rechtzeitig entrichtet.</w:t>
      </w:r>
    </w:p>
    <w:p>
      <w:r>
        <w:t xml:space="preserve">(2) Die Ordnungswidrigkeit kann mit einer Geldbuße geahndet werden.</w:t>
      </w:r>
    </w:p>
    <w:p>
      <w:r>
        <w:t xml:space="preserve">(3) Verwaltungsbehörden im Sinne des § 36 Absatz 1 Nummer 1 des Gesetzes über Ordnungswidrigkeiten sind für die in einer Rechtsverordnung nach § 3 Absatz 1 Satz 2 jeweils festgelegte Strecke im Zuge einer Bundesfernstraße, für die dem Bund die Verwaltung der Bundesfernstraße zusteht, das Fernstraßen-Bundesamt und für die jeweils festgelegte Strecke im Zuge einer Bundesstraße, für die dem Bund die Verwaltung der Bundesstraße nicht zusteht, die zuständige Landesstraßenbaubehörde für Ordnungswidrigkeiten nach Absatz 1.</w:t>
      </w:r>
    </w:p>
    <w:p>
      <w:r>
        <w:rPr>
          <w:color w:val="555555"/>
          <w:sz w:val="17"/>
        </w:rPr>
        <w:t xml:space="preserve">Zitiervorschlag: § 12 FStrPrivFinG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https://recht.nulegal.eu/gesetze/FStrPrivFinG/12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