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FStrPrivFinG — Datenlöschungen, Geschäftsstatistiken</w:t>
      </w:r>
    </w:p>
    <w:p>
      <w:r>
        <w:rPr>
          <w:color w:val="555555"/>
          <w:sz w:val="18"/>
        </w:rPr>
        <w:t xml:space="preserve">Fernstraßenbauprivatfinanzierungsgesetz</w:t>
      </w:r>
    </w:p>
    <w:p>
      <w:r>
        <w:rPr>
          <w:color w:val="555555"/>
          <w:sz w:val="18"/>
        </w:rPr>
        <w:t xml:space="preserve">Stand: 02.12.2019 (konsolidierte Textfassung, kein amtliches Inkrafttretensdatum)</w:t>
      </w:r>
    </w:p>
    <w:p>
      <w:r>
        <w:t xml:space="preserve">(1) Der Private hat</w:t>
      </w:r>
    </w:p>
    <w:p>
      <w:pPr>
        <w:ind w:left="420"/>
      </w:pPr>
      <w:r>
        <w:t xml:space="preserve">1. Berechnungsdaten, soweit sie nicht Abrechnungsdaten sind, unverzüglich nach Durchführung der Berechnung zu löschen,</w:t>
      </w:r>
    </w:p>
    <w:p>
      <w:pPr>
        <w:ind w:left="420"/>
      </w:pPr>
      <w:r>
        <w:t xml:space="preserve">2. Abrechnungsdaten zu löschen, sobald feststeht, dass die Mautgebühr nach § 9 entrichtet worden ist und Rechtsmittel nicht oder nicht fristgerecht eingelegt worden sind,</w:t>
      </w:r>
    </w:p>
    <w:p>
      <w:pPr>
        <w:ind w:left="420"/>
      </w:pPr>
      <w:r>
        <w:t xml:space="preserve">3. Kontrolldaten zu löschen, sobald feststeht, dass die Mautgebühr ordnungsgemäß entrichtet wurde,</w:t>
      </w:r>
    </w:p>
    <w:p>
      <w:pPr>
        <w:ind w:left="420"/>
      </w:pPr>
      <w:r>
        <w:t xml:space="preserve">4. Bilder und Daten, die im Rahmen der Kontrolle erhoben und gespeichert wurden, unmittelbar nach dem Kontrollvorgang zu löschen, wenn das Kraftfahrzeug nicht der Mautgebührenpflicht unterliegt.</w:t>
      </w:r>
    </w:p>
    <w:p>
      <w:r>
        <w:t xml:space="preserve">Ist die Mautgebühr als Gebühr erhoben worden und sind gegen den Gebührenbescheid fristgerecht Rechtsmittel eingelegt worden, sind die Daten spätestens einen Monat nach Beendigung des Verfahrens zu löschen. Ist die Mautgebühr nicht nach § 9 entrichtet worden, hat der Private die Kontroll- und Verfahrensdaten spätestens einen Monat nach rechts- oder bestandskräftigem Abschluss des Verwaltungsverfahrens, des verwaltungsgerichtlichen Verfahrens, des Gerichtsverfahrens für die Beitreibung des Entgeltes oder des Ordnungswidrigkeiten- oder Strafverfahrens zu löschen.</w:t>
      </w:r>
    </w:p>
    <w:p>
      <w:r>
        <w:t xml:space="preserve">(2) Ist die Erteilung einer Quittung vereinbart worden, sind die zu quittierenden Daten nach Erteilung der Quittung unverzüglich zu löschen.</w:t>
      </w:r>
    </w:p>
    <w:p>
      <w:r>
        <w:t xml:space="preserve">(3) Die nach diesem Gesetz gespeicherten Daten darf der Private in anonymisierter Form zur Erstellung von Geschäftsstatistiken speichern, verändern und verwenden.</w:t>
      </w:r>
    </w:p>
    <w:p>
      <w:r>
        <w:rPr>
          <w:color w:val="555555"/>
          <w:sz w:val="17"/>
        </w:rPr>
        <w:t xml:space="preserve">Zitiervorschlag: § 11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