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FStrPrivFinG — Nachweis und Kontrolle der Mautgebührenentrichtung</w:t>
      </w:r>
    </w:p>
    <w:p>
      <w:r>
        <w:rPr>
          <w:color w:val="555555"/>
          <w:sz w:val="18"/>
        </w:rPr>
        <w:t xml:space="preserve">Fernstraßenbauprivatfinanzierungsgesetz</w:t>
      </w:r>
    </w:p>
    <w:p>
      <w:r>
        <w:rPr>
          <w:color w:val="555555"/>
          <w:sz w:val="18"/>
        </w:rPr>
        <w:t xml:space="preserve">Stand: 02.12.2019 (konsolidierte Textfassung, kein amtliches Inkrafttretensdatum)</w:t>
      </w:r>
    </w:p>
    <w:p>
      <w:r>
        <w:t xml:space="preserve">(1) Auf Verlangen des Privaten hat der Schuldner die ordnungsgemäße Entrichtung der Mautgebühr nachzuweisen. Hat der Schuldner im Voraus die Mautgebühr entrichtet und hierüber Belege erhalten, so hat er diese bei der Benutzung mitzuführen und auf Verlangen den zur Kontrolle befugten Personen zur Prüfung auszuhändigen.</w:t>
      </w:r>
    </w:p>
    <w:p>
      <w:r>
        <w:t xml:space="preserve">(2) Hat der Schuldner die Mautgebühr nicht oder nicht in voller Höhe entrichtet, darf der Private die Kontrolldaten zum Zweck der Vollstreckung der Mautgebühr, der Einziehung der Mautgebühr oder zur Erstellung des Gebührenbescheids verarbeiten.</w:t>
      </w:r>
    </w:p>
    <w:p>
      <w:r>
        <w:rPr>
          <w:color w:val="555555"/>
          <w:sz w:val="17"/>
        </w:rPr>
        <w:t xml:space="preserve">Zitiervorschlag: § 10 FStrPrivFinG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