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FStrPrivFinG — Bau und Finanzierung durch Private</w:t>
      </w:r>
    </w:p>
    <w:p>
      <w:r>
        <w:rPr>
          <w:color w:val="555555"/>
          <w:sz w:val="18"/>
        </w:rPr>
        <w:t xml:space="preserve">Fernstraßenbauprivatfinanzierungsgesetz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Verstärkung von Investitionen in das Bundesfernstraßennetz können Private Aufgaben des Neu- und Ausbaus von Bundesfernstraßen auf der Grundlage einer Mautgebührenfinanzierung wahrnehmen.</w:t>
      </w:r>
    </w:p>
    <w:p>
      <w:r>
        <w:t xml:space="preserve">(2) Hierzu kann der Bau, die Erhaltung, der Betrieb und die Finanzierung von Bundesfernstraßen Privaten zur Ausführung übertragen werden.</w:t>
      </w:r>
    </w:p>
    <w:p>
      <w:r>
        <w:t xml:space="preserve">(3) Der Private hat die Rechte und Pflichten des Trägers der Straßenbaulast nach den §§ 7a, 16a Abs. 3, §§ 18f, 19 und 19a des Bundesfernstraßengesetzes.</w:t>
      </w:r>
    </w:p>
    <w:p>
      <w:r>
        <w:t xml:space="preserve">(4) Hoheitliche Befugnisse gehen auf den Privaten nicht über, soweit dieses Gesetz nichts anderes bestimmt.</w:t>
      </w:r>
    </w:p>
    <w:p>
      <w:r>
        <w:t xml:space="preserve">(5) Mautgebühren im Sinne dieses Gesetzes sind öffentlich-rechtliche Gebühren (Gebühren) oder privatrechtliche Entgelte (Entgelte).</w:t>
      </w:r>
    </w:p>
    <w:p>
      <w:r>
        <w:rPr>
          <w:color w:val="555555"/>
          <w:sz w:val="17"/>
        </w:rPr>
        <w:t xml:space="preserve">Zitiervorschlag: § 1 FStrPrivFinG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https://recht.nulegal.eu/gesetze/FStrPrivFinG/1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