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FStrPrivFinBestV 2005</w:t>
      </w:r>
    </w:p>
    <w:p>
      <w:r>
        <w:rPr>
          <w:color w:val="555555"/>
          <w:sz w:val="18"/>
        </w:rPr>
        <w:t xml:space="preserve">Fernstraßenbauprivatfinanzierungs-Bestimmungsverordnung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1 Satz 2 des Fernstraßenbauprivatfinanzierungsgesetzes in der Fassung der Bekanntmachung vom 20. Januar 2003 (BGBl. I S. 98) verordnet das Bundesministerium für Verkehr, Bau- und Wohnungswesen im Einvernehmen mit den Landesregierungen der Länder Mecklenburg-Vorpommern und Schleswig-Holstein:</w:t>
      </w:r>
    </w:p>
    <w:p>
      <w:r>
        <w:rPr>
          <w:color w:val="555555"/>
          <w:sz w:val="17"/>
        </w:rPr>
        <w:t xml:space="preserve">Zitiervorschlag: Eingangsformel FStrPrivFinBestV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https://recht.nulegal.eu/gesetze/FStrPrivFinBestV%202005/eingangsformel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