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FStrPrivFinBestV 2005 — (zu § 1) Privatfinanzierte Abschnitte von Bundesfernstraßen</w:t>
      </w:r>
    </w:p>
    <w:p>
      <w:r>
        <w:rPr>
          <w:color w:val="555555"/>
          <w:sz w:val="18"/>
        </w:rPr>
        <w:t xml:space="preserve">Fernstraßenbauprivatfinanzierungs-Bestimmungsverordnung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2005, 1686</w:t>
      </w:r>
    </w:p>
    <w:p>
      <w:r>
        <w:rPr>
          <w:rFonts w:ascii="Courier New" w:hAnsi="Courier New"/>
          <w:sz w:val="17"/>
        </w:rPr>
        <w:t xml:space="preserve">lfd Nr.    Bezeichnung    Streckenabschnitt    Bundesland</w:t>
      </w:r>
    </w:p>
    <w:p>
      <w:r>
        <w:rPr>
          <w:rFonts w:ascii="Courier New" w:hAnsi="Courier New"/>
          <w:sz w:val="17"/>
        </w:rPr>
        <w:t xml:space="preserve">1    Warnow-Tunnel (im Stadtgebiet der Hansestadt Rostock)    Bundesstraße B 103n zwischen Straßenkilometer 1+040 und Straßenkilometer 3+160    Mecklenburg-Vorpommern</w:t>
      </w:r>
    </w:p>
    <w:p>
      <w:r>
        <w:rPr>
          <w:rFonts w:ascii="Courier New" w:hAnsi="Courier New"/>
          <w:sz w:val="17"/>
        </w:rPr>
        <w:t xml:space="preserve">2    Herrentunnel (im Stadtgebiet der Hansestadt Lübeck)    Bundesstraße B 104 zwischen Straßenkilometer 6+034,11 westlich der Trave und Straßenkilometer 8+051,08 östlich der Trave    Schleswig-Holstein</w:t>
      </w:r>
    </w:p>
    <w:p>
      <w:r>
        <w:rPr>
          <w:color w:val="555555"/>
          <w:sz w:val="17"/>
        </w:rPr>
        <w:t xml:space="preserve">Zitiervorschlag: Anlage FStrPrivFinBestV 2005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https://recht.nulegal.eu/gesetze/FStrPrivFinBestV%202005/anlage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