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FStrPrivFinBestV 2005 — Inkrafttreten, Außerkrafttreten</w:t>
      </w:r>
    </w:p>
    <w:p>
      <w:r>
        <w:rPr>
          <w:color w:val="555555"/>
          <w:sz w:val="18"/>
        </w:rPr>
        <w:t xml:space="preserve">Fernstraßenbauprivatfinanzierungs-Bestimmungsverordnung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FStrPrivFinBestV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https://recht.nulegal.eu/gesetze/FStrPrivFinBestV%202005/2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