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FStrKrV — Sonstige Teile der Kreuzungsanlage</w:t>
      </w:r>
    </w:p>
    <w:p>
      <w:r>
        <w:rPr>
          <w:color w:val="555555"/>
          <w:sz w:val="18"/>
        </w:rPr>
        <w:t xml:space="preserve">Bundesfernstraßenkreuzungsverordnung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den §§ 1 und 2 nicht erfaßten Teile der Bundesfernstraße und der kreuzenden Straße gehören zu der Straße, der sie unmittelbar dienen.</w:t>
      </w:r>
    </w:p>
    <w:p>
      <w:r>
        <w:rPr>
          <w:color w:val="555555"/>
          <w:sz w:val="17"/>
        </w:rPr>
        <w:t xml:space="preserve">Zitiervorschlag: § 3 FStrKrV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https://recht.nulegal.eu/gesetze/FStrKrV/3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