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FStrKrV — Über- und Unterführungen</w:t>
      </w:r>
    </w:p>
    <w:p>
      <w:r>
        <w:rPr>
          <w:color w:val="555555"/>
          <w:sz w:val="18"/>
        </w:rPr>
        <w:t xml:space="preserve">Bundesfernstraßenkreuzungsverordnung</w:t>
      </w:r>
    </w:p>
    <w:p>
      <w:r>
        <w:rPr>
          <w:color w:val="555555"/>
          <w:sz w:val="18"/>
        </w:rPr>
        <w:t xml:space="preserve">Stand: 10.06.2019 (konsolidierte Textfassung, kein amtliches Inkrafttretensdatum)</w:t>
      </w:r>
    </w:p>
    <w:p>
      <w:r>
        <w:t xml:space="preserve">(1) Zum Kreuzungsbauwerk im Sinne des § 13 Abs. 2 des Bundesfernstraßengesetzes gehören</w:t>
      </w:r>
    </w:p>
    <w:p>
      <w:pPr>
        <w:ind w:left="420"/>
      </w:pPr>
      <w:r>
        <w:t xml:space="preserve">1. die Widerlager mit Flügelmauern,</w:t>
      </w:r>
    </w:p>
    <w:p>
      <w:pPr>
        <w:ind w:left="420"/>
      </w:pPr>
      <w:r>
        <w:t xml:space="preserve">2. die Pfeiler,</w:t>
      </w:r>
    </w:p>
    <w:p>
      <w:pPr>
        <w:ind w:left="420"/>
      </w:pPr>
      <w:r>
        <w:t xml:space="preserve">3. der Überbau mit Geländern, Brüstungen und Auffangvorrichtungen, jedoch mit Ausnahme der Straßendecke, der Entwässerungsrinnen und Einläufe und, soweit sie nicht durch die Konstruktion der Brücke bedingt sind, der Verkehrszeichen und -einrichtungen sowie Verkehrsanlagen aller Art.</w:t>
      </w:r>
    </w:p>
    <w:p>
      <w:r>
        <w:t xml:space="preserve">(2) Die nicht zum Kreuzungsbauwerk rechnenden Teile des Überbaus (Abs. 1 Nr. 3) gehören zu der Straße, in deren Verlauf sie liegen.</w:t>
      </w:r>
    </w:p>
    <w:p>
      <w:r>
        <w:t xml:space="preserve">(3) Verbindungsarme zwischen der Bundesfernstraße und der kreuzenden Straße gehören zur Bundesfernstraße. Die Verbindungsarme enden am äußeren Fahrbahnrand der kreuzenden Straße. Sind Abbiege- oder Einfädelstreifen auf der kreuzenden Straße vorhanden, so enden die Verbindungsarme am Anfang der Eckausrundungen der kreuzenden Straße. Bei höhenungleichen Einmündungen beginnen die Verbindungsarme an der ersten Aufweitung der einmündenden Straße. Lichtzeichenanlagen und Verkehrsinseln an der Einmündung des Verbindungsarms gehören zur Bundesfernstraße.</w:t>
      </w:r>
    </w:p>
    <w:p>
      <w:r>
        <w:rPr>
          <w:color w:val="555555"/>
          <w:sz w:val="17"/>
        </w:rPr>
        <w:t xml:space="preserve">Zitiervorschlag: § 2 FStrKrV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https://recht.nulegal.eu/gesetze/FStrKrV/2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