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FStrG — Gemeingebrauch</w:t>
      </w:r>
    </w:p>
    <w:p>
      <w:r>
        <w:rPr>
          <w:color w:val="555555"/>
          <w:sz w:val="18"/>
        </w:rPr>
        <w:t xml:space="preserve">Bundesfernstraßengesetz</w:t>
      </w:r>
    </w:p>
    <w:p>
      <w:r>
        <w:rPr>
          <w:color w:val="555555"/>
          <w:sz w:val="18"/>
        </w:rPr>
        <w:t xml:space="preserve">Stand: 01.01.2021 (konsolidierte Textfassung, kein amtliches Inkrafttretensdatum)</w:t>
      </w:r>
    </w:p>
    <w:p>
      <w:r>
        <w:t xml:space="preserve">(1) Der Gebrauch der Bundesfernstraßen ist jedermann im Rahmen der Widmung und der verkehrsbehördlichen Vorschriften zum Verkehr gestattet (Gemeingebrauch). Hierbei hat der fließende Verkehr den Vorrang vor dem ruhenden Verkehr. Kein Gemeingebrauch liegt vor, wenn jemand die Straße nicht vorwiegend zum Verkehr, sondern zu anderen Zwecken benutzt. Die Erhebung von Gebühren für den Gemeingebrauch bedarf einer besonderen gesetzlichen Regelung.</w:t>
      </w:r>
    </w:p>
    <w:p>
      <w:r>
        <w:t xml:space="preserve">(2) Der Gemeingebrauch kann beschränkt werden, wenn dies wegen des baulichen Zustandes zur Vermeidung außerordentlicher Schäden an der Straße oder für die Sicherheit oder Leichtigkeit des Verkehrs notwendig ist. Die Beschränkungen sind durch Verkehrszeichen kenntlich zu machen.</w:t>
      </w:r>
    </w:p>
    <w:p>
      <w:r>
        <w:t xml:space="preserve">(2a) Macht die dauernde Beschränkung des Gemeingebrauchs durch die Straßenbaubehörde oder auf Bundesautobahnen durch die Gesellschaft privaten Rechts im Sinne des Infrastrukturgesellschaftserrichtungsgesetzes die Herstellung von Ersatzstraßen oder -wegen notwendig, so ist der Träger der Straßenbaulast der Bundesfernstraße zur Erstattung der Herstellungskosten verpflichtet, es sei denn, dass er die Herstellung auf Antrag des zuständigen Trägers der Straßenbaulast selbst übernimmt.</w:t>
      </w:r>
    </w:p>
    <w:p>
      <w:r>
        <w:t xml:space="preserve">(3) Wer eine Bundesfernstraße aus Anlass des Gemeingebrauchs über das übliche Maß hinaus verunreinigt, hat die Verunreinigung ohne Aufforderung unverzüglich zu beseitigen; andernfalls kann die Straßenbaubehörde oder auf Bundesautobahnen durch die Gesellschaft privaten Rechts im Sinne des Infrastrukturgesellschaftserrichtungsgesetzes die Verunreinigung auf seine Kosten beseitigen.</w:t>
      </w:r>
    </w:p>
    <w:p>
      <w:r>
        <w:rPr>
          <w:color w:val="555555"/>
          <w:sz w:val="17"/>
        </w:rPr>
        <w:t xml:space="preserve">Zitiervorschlag: § 7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