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23a FStrG — Gebühren, Verordnungsermächtigung</w:t>
      </w:r>
    </w:p>
    <w:p>
      <w:r>
        <w:rPr>
          <w:color w:val="555555"/>
          <w:sz w:val="18"/>
        </w:rPr>
        <w:t xml:space="preserve">Bundesfernstraßengesetz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(1) Für individuell zurechenbare öffentliche Leistungen des Bundes in den Fällen nach § 8 Absatz 1, 2, 2a, 6 und 7a, § 9 Absatz 2 bis 2c, 5 und 8 ist das Bundesgebührengesetz anzuwenden. Das Bundesministerium für Verkehr wird ermächtigt, durch Rechtsverordnung ohne Zustimmung des Bundesrates seine Befugnisse nach § 22 Absatz 4 des Bundesgebührengesetzes auf das Fernstraßen-Bundesamt zu übertragen, soweit dem Bund die Verwaltung einer Bundesfernstraße zusteht.</w:t>
      </w:r>
    </w:p>
    <w:p>
      <w:r>
        <w:t xml:space="preserve">(2) Für individuell zurechenbare öffentliche Leistungen der Länder in den Fällen nach § 8 Absatz 1, 2, 2a, 6 und 7a, § 9 Absatz 2 bis 2c, 5 und 8 ist das Bundesgebührengesetz mit der Maßgabe anzuwenden, dass die Rechtsverordnungen nach § 22 des Bundesgebührengesetzes von den Landesregierungen erlassen werden. Die zuständige Landesregierung wird ermächtigt, durch Rechtsverordnung ihre Befugnisse nach Satz 3 auf eine oberste Landesbehörde zu übertragen.</w:t>
      </w:r>
    </w:p>
    <w:p>
      <w:r>
        <w:rPr>
          <w:color w:val="555555"/>
          <w:sz w:val="17"/>
        </w:rPr>
        <w:t xml:space="preserve">Zitiervorschlag: § 23a FStrG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https://recht.nulegal.eu/gesetze/FStrG/23a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