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FStrG — Enteignung</w:t>
      </w:r>
    </w:p>
    <w:p>
      <w:r>
        <w:rPr>
          <w:color w:val="555555"/>
          <w:sz w:val="18"/>
        </w:rPr>
        <w:t xml:space="preserve">Bundesfernstraßengesetz</w:t>
      </w:r>
    </w:p>
    <w:p>
      <w:r>
        <w:rPr>
          <w:color w:val="555555"/>
          <w:sz w:val="18"/>
        </w:rPr>
        <w:t xml:space="preserve">Stand: 13.03.2020 (konsolidierte Textfassung, kein amtliches Inkrafttretensdatum)</w:t>
      </w:r>
    </w:p>
    <w:p>
      <w:r>
        <w:t xml:space="preserve">(1) Die Träger der Straßenbaulast der Bundesfernstraßen haben zur Erfüllung ihrer Aufgaben das Enteignungsrecht. Die Enteignung ist zulässig, soweit sie zur Unterhaltung oder Ausführung eines nach § 17 Absatz 1 festgestellten oder genehmigten Bauvorhabens notwendig ist. Einer weiteren Feststellung der Zulässigkeit der Enteignung bedarf es nicht.</w:t>
      </w:r>
    </w:p>
    <w:p>
      <w:r>
        <w:t xml:space="preserve">(2) Der festgestellte oder genehmigte Plan ist dem Enteignungsverfahren zugrunde zu legen und für die Enteignungsbehörde bindend.</w:t>
      </w:r>
    </w:p>
    <w:p>
      <w:r>
        <w:t xml:space="preserve">(2a) Hat sich ein Beteiligter mit der Übertragung oder Beschränkung des Eigentums oder eines anderen Rechts schriftlich einverstanden erklärt, kann das Entschädigungsverfahren unmittelbar durchgeführt werden.</w:t>
      </w:r>
    </w:p>
    <w:p>
      <w:r>
        <w:t xml:space="preserve">(2b) Die Absätze 1, 2 und 2a gelten für die in § 17f genannten Anlagen entsprechend.</w:t>
      </w:r>
    </w:p>
    <w:p>
      <w:r>
        <w:t xml:space="preserve">(3) (weggefallen)</w:t>
      </w:r>
    </w:p>
    <w:p>
      <w:r>
        <w:t xml:space="preserve">(4) (weggefallen)</w:t>
      </w:r>
    </w:p>
    <w:p>
      <w:r>
        <w:t xml:space="preserve">(5) Im Übrigen gelten die für öffentliche Straßen geltenden Enteignungsgesetze der Länder.</w:t>
      </w:r>
    </w:p>
    <w:p>
      <w:r>
        <w:rPr>
          <w:color w:val="555555"/>
          <w:sz w:val="17"/>
        </w:rPr>
        <w:t xml:space="preserve">Zitiervorschlag: § 19 FStrG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https://recht.nulegal.eu/gesetze/FStrG/19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