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17f FStrG — Anlagen der Verkehrsüberwachung, der Unfallhilfe und des Zolls</w:t>
      </w:r>
    </w:p>
    <w:p>
      <w:r>
        <w:rPr>
          <w:color w:val="555555"/>
          <w:sz w:val="18"/>
        </w:rPr>
        <w:t xml:space="preserve">Bundesfernstraßengesetz</w:t>
      </w:r>
    </w:p>
    <w:p>
      <w:r>
        <w:rPr>
          <w:color w:val="555555"/>
          <w:sz w:val="18"/>
        </w:rPr>
        <w:t xml:space="preserve">Stand: 10.06.2019 (konsolidierte Textfassung, kein amtliches Inkrafttretensdatum)</w:t>
      </w:r>
    </w:p>
    <w:p>
      <w:r>
        <w:t xml:space="preserve">Die der Sicherheit und Ordnung dienenden Anlagen an Bundesfernstraßen, wie Polizeistationen, Einrichtungen der Unfallhilfe, Hubschrauberlandeplätze, können, wenn sie eine unmittelbare Zufahrt zu den Bundesfernstraßen haben, zur Festsetzung der Flächen in die Planfeststellung einbezogen werden. Das Gleiche gilt für Zollanlagen an Bundesfernstraßen.</w:t>
      </w:r>
    </w:p>
    <w:p>
      <w:r>
        <w:rPr>
          <w:color w:val="555555"/>
          <w:sz w:val="17"/>
        </w:rPr>
        <w:t xml:space="preserve">Zitiervorschlag: § 17f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