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FStrG — Planfeststellungsbeschluss, Plangenehmigung</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Für den Planfeststellungsbeschluss und die Plangenehmigung gelten die §§ 74 und 74a des Verwaltungsverfahrensgesetzes und § 27 des Gesetzes über die Umweltverträglichkeitsprüfung nach Maßgabe der folgenden Absätze.</w:t>
      </w:r>
    </w:p>
    <w:p>
      <w:r>
        <w:t xml:space="preserve">(2) Die §§ 48 bis 51 des Verwaltungsverfahrensgesetzes finden auf Entscheidungen der Planfeststellungsbehörde keine Anwendung.</w:t>
      </w:r>
    </w:p>
    <w:p>
      <w:r>
        <w:t xml:space="preserve">(3) (weggefallen)</w:t>
      </w:r>
    </w:p>
    <w:p>
      <w:r>
        <w:t xml:space="preserve">(4) Die oberste Landesstraßenbaubehörde stellt den Plan fest, erteilt die Plangenehmigung und trifft die Entscheidung nach § 74b des Verwaltungsverfahrensgesetzes, soweit sich aus den Absätzen 5 bis 7 sowie aus § 2 Absatz 1 Satz 1 Nummer 4, Absatz 2 und 3 und § 3 Absatz 4 des Fernstraßen-Bundesamt-Errichtungsgesetzes keine Zuständigkeit des Fernstraßen-Bundesamtes als Planfeststellungsbehörde und Plangenehmigungsbehörde ergibt. Bei Entscheidungen nach Satz 1 tritt an die Stelle einer gesetzlich angeordneten Pflicht zur Herstellung des Einvernehmens eine Pflicht zur Benehmensherstellung. Bestehen zwischen der obersten Landesstraßenbaubehörde oder dem Fernstraßen-Bundesamt, die den Plan im Rahmen ihrer jeweiligen Zuständigkeiten feststellen, und einer Bundesbehörde Meinungsverschiedenheiten, so ist vor der Planfeststellung die Weisung des Bundesministeriums für Verkehr einzuholen.</w:t>
      </w:r>
    </w:p>
    <w:p>
      <w:r>
        <w:t xml:space="preserve">(5) Für ein Vorhaben, das teilweise von einer obersten Landesstraßenbaubehörde und teilweise vom Fernstraßen-Bundesamt durch Planfeststellungsbeschluss oder Plangenehmigung zugelassen werden muss, ist nur ein Verfahren durchzuführen, wenn für dieses Vorhaben oder für Teile davon nur eine einheitliche Entscheidung möglich ist. Zuständig ist die Behörde, in deren Zuständigkeitsbereich das Vorhaben den größeren Kreis öffentlich-rechtlicher Beziehungen berührt. Sie hat das Verfahren nach den für sie geltenden Rechtsvorschriften durchzuführen.</w:t>
      </w:r>
    </w:p>
    <w:p>
      <w:r>
        <w:t xml:space="preserve">(6) Bestehen Zweifel, welche Behörde nach Absatz 5 zuständig ist, führen das Bundesministerium für Verkehr und die oberste Landesstraßenbaubehörde das Benehmen darüber herbei, welche Behörde für das Vorhaben zuständig ist.</w:t>
      </w:r>
    </w:p>
    <w:p>
      <w:r>
        <w:t xml:space="preserve">(7) Die Absätze 5 und 6 gelten entsprechend für die Entscheidung nach § 74 Absatz 7 des Verwaltungsverfahrensgesetzes.</w:t>
      </w:r>
    </w:p>
    <w:p>
      <w:r>
        <w:t xml:space="preserve">(8) Bebauungspläne nach § 9 des Baugesetzbuchs ersetzen die Planfeststellung nach § 17. Wird eine Ergänzung notwendig oder soll von Festsetzungen des Bebauungsplans abgewichen werden, so ist die Planfeststellung insoweit zusätzlich durchzuführen. In diesen Fällen gelten die §§ 40, 43 Absatz 1, 2, 4 und 5 sowie § 44 Absatz 1 bis 4 des Baugesetzbuchs.</w:t>
      </w:r>
    </w:p>
    <w:p>
      <w:r>
        <w:rPr>
          <w:color w:val="555555"/>
          <w:sz w:val="17"/>
        </w:rPr>
        <w:t xml:space="preserve">Zitiervorschlag: § 17b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