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FStrG — Anhörungsverfahren</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Für das Anhörungsverfahren und das Beteiligungsverfahren gelten die §§ 27a, 27b, 27c und 72 bis 73c des Verwaltungsverfahrensgesetzes und die §§ 17 bis 19 sowie 21 des Gesetzes über die Umweltverträglichkeitsprüfung nach Maßgabe des Absatzes 2.</w:t>
      </w:r>
    </w:p>
    <w:p>
      <w:r>
        <w:t xml:space="preserve">(2) Die Planfeststellungsbehörde kann auf eine Erörterung nach § 73b des Verwaltungsverfahrensgesetzes und § 18 Absatz 1 Satz 4 des Gesetzes über die Umweltverträglichkeitsprüfung verzichten. Soll ein ausgelegter Plan geändert werden, so soll von der Erörterung im Sinne des § 73c Absatz 2 des Verwaltungsverfahrensgesetzes und des § 18 Absatz 1 Satz 4 des Gesetzes über die Umweltverträglichkeitsprüfung abgesehen werden.</w:t>
      </w:r>
    </w:p>
    <w:p>
      <w:r>
        <w:rPr>
          <w:color w:val="555555"/>
          <w:sz w:val="17"/>
        </w:rPr>
        <w:t xml:space="preserve">Zitiervorschlag: § 17a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