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FStrG — Erfordernis der Planfeststellung und vorläufige Anordnung</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Bundesfernstraßen dürfen nur gebaut oder geändert werden, wenn der Plan vorher festgestellt ist. Eine Änderung liegt vor, wenn eine Bundesfernstraße</w:t>
      </w:r>
    </w:p>
    <w:p>
      <w:pPr>
        <w:ind w:left="420"/>
      </w:pPr>
      <w:r>
        <w:t xml:space="preserve">1. um einen oder mehrere durchgehende Fahrstreifen für den Kraftfahrzeugverkehr baulich erweitert wird oder</w:t>
      </w:r>
    </w:p>
    <w:p>
      <w:pPr>
        <w:ind w:left="420"/>
      </w:pPr>
      <w:r>
        <w:t xml:space="preserve">2. in sonstiger Weise erheblich baulich umgestaltet wird.</w:t>
      </w:r>
    </w:p>
    <w:p>
      <w:r>
        <w:t xml:space="preserve">Eine Änderung im Sinne des Satzes 2 liegt insbesondere nicht vor, wenn die Änderung der Bundesfernstraße</w:t>
      </w:r>
    </w:p>
    <w:p>
      <w:pPr>
        <w:ind w:left="420"/>
      </w:pPr>
      <w:r>
        <w:t xml:space="preserve">1. im Zuge des Wiederaufbaus nach einer Naturkatastrophe erforderlich ist, um die Bundesfernstraße vor Naturereignissen zu schützen, und in einem räumlich begrenzten Korridor entlang des Trassenverlaufs erfolgt oder</w:t>
      </w:r>
    </w:p>
    <w:p>
      <w:pPr>
        <w:ind w:left="420"/>
      </w:pPr>
      <w:r>
        <w:t xml:space="preserve">2. unselbständiger Teil einer Ausbaumaßnahme ist, deren vorgezogene Durchführung zur unterhaltungsbedingten Erneuerung eines Brückenbauwerks erforderlich ist.</w:t>
      </w:r>
    </w:p>
    <w:p>
      <w:r>
        <w:t xml:space="preserve">Als unselbständiger Teil einer Ausbaumaßnahme im Sinne des Satzes 3 Nummer 2 gilt eine Änderung der Bundesfernstraße, die im Vorgriff auf den Ausbau einer Strecke durchgeführt werden soll, und keine unmittelbare verkehrliche Kapazitätserweiterung bewirkt. Der Träger des Vorhabens kann die Feststellung des Plans nach Absatz 1 Satz 1 beantragen. Bei der Planfeststellung sind die von dem Vorhaben berührten öffentlichen und privaten Belange einschließlich der Umweltverträglichkeit im Rahmen der Abwägung zu berücksichtigen. Für das Planfeststellungsverfahren gelten die §§ 72 bis 78 des Verwaltungsverfahrensgesetzes nach Maßgabe dieses Gesetzes. Die Maßgaben gelten entsprechend, soweit das Verfahren landesrechtlich durch ein Verwaltungsverfahrensgesetz geregelt ist.</w:t>
      </w:r>
    </w:p>
    <w:p>
      <w:r>
        <w:t xml:space="preserve">(2) Ist das Planfeststellungs- oder das Plangenehmigungsverfahren eingeleitet, kann die Planfeststellungsbehörde nach Anhörung der betroffenen Gemeinde eine vorläufige Anordnung erlassen, in der vorbereitende Maßnahmen oder Teilmaßnahmen zum Bau oder zur Änderung festgesetzt werden, wenn</w:t>
      </w:r>
    </w:p>
    <w:p>
      <w:pPr>
        <w:ind w:left="420"/>
      </w:pPr>
      <w:r>
        <w:t xml:space="preserve">1. an dem vorzeitigen Beginn ein öffentliches Interesse besteht und</w:t>
      </w:r>
    </w:p>
    <w:p>
      <w:pPr>
        <w:ind w:left="420"/>
      </w:pPr>
      <w:r>
        <w:t xml:space="preserve">2. die nach § 74 Absatz 2 des Verwaltungsverfahrensgesetzes zu berücksichtigenden Interessen gewahrt werden.</w:t>
      </w:r>
    </w:p>
    <w:p>
      <w:r>
        <w:t xml:space="preserve">In der vorläufigen Anordnung sind die Auflagen zur Sicherung dieser Interessen und der Umfang der vorläufig zulässigen Maßnahmen festzulegen. Die vorläufige Anordnung ersetzt nicht die Planfeststellung oder Plangenehmigung. § 16a bleibt unberührt.</w:t>
      </w:r>
    </w:p>
    <w:p>
      <w:r>
        <w:t xml:space="preserve">(3) Die vorläufige Anordnung ist den betroffenen Gemeinden sowie den Beteiligten zuzustellen oder ihr Inhalt ist nach Maßgabe von § 27a des Verwaltungsverfahrensgesetzes öffentlich bekannt zu machen. Im Fall der Bekanntmachung im Internet gilt die vorläufige Anordnung zwei Wochen nach der elektronischen Veröffentlichung als bekannt gegeben; hierauf ist bei der Veröffentlichung hinzuweisen.</w:t>
      </w:r>
    </w:p>
    <w:p>
      <w:r>
        <w:t xml:space="preserve">(4) Soweit die vorbereitenden Maßnahmen oder Teilmaßnahmen zum Bau oder zur Änderung durch die Planfeststellung oder Plangenehmigung für unzulässig erklärt sind, ordnet die Planfeststellungsbehörde gegenüber dem Träger des Vorhabens an, dass ein mit dem früheren Zustand im Wesentlichen gleichartiger Zustand herzustellen ist. Dies gilt auch, wenn der Antrag auf Planfeststellung zurückgenommen wurde. Der Betroffene ist durch den Träger der Straßenbaulast zu entschädigen, soweit die Herstellung des mit dem früheren Zustand im Wesentlichen gleichartigen Zustands nicht möglich oder mit unverhältnismäßig hohem Aufwand verbunden oder ein Schaden eingetreten ist, der durch die Herstellung des mit dem früheren Zustand im Wesentlichen gleichartigen Zustands nicht ausgeglichen wird.</w:t>
      </w:r>
    </w:p>
    <w:p>
      <w:r>
        <w:t xml:space="preserve">(5) Rechtsbehelfe gegen die vorläufige Anordnung haben keine aufschiebende Wirkung; ein Vorverfahren findet nicht statt. § 17e gilt entsprechend.</w:t>
      </w:r>
    </w:p>
    <w:p>
      <w:r>
        <w:rPr>
          <w:color w:val="555555"/>
          <w:sz w:val="17"/>
        </w:rPr>
        <w:t xml:space="preserve">Zitiervorschlag: § 17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