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FStrG — Planungen</w:t>
      </w:r>
    </w:p>
    <w:p>
      <w:r>
        <w:rPr>
          <w:color w:val="555555"/>
          <w:sz w:val="18"/>
        </w:rPr>
        <w:t xml:space="preserve">Bundesfernstraßengesetz</w:t>
      </w:r>
    </w:p>
    <w:p>
      <w:r>
        <w:rPr>
          <w:color w:val="555555"/>
          <w:sz w:val="18"/>
        </w:rPr>
        <w:t xml:space="preserve">Stand: 31.07.2026 (konsolidierte Textfassung, kein amtliches Inkrafttretensdatum)</w:t>
      </w:r>
    </w:p>
    <w:p>
      <w:r>
        <w:t xml:space="preserve">(1) Das Fernstraßen-Bundesamt bestätigt innerhalb einer Frist von drei Monaten den Vorschlag des Trägers des Vorhabens für die Planung und Linienführung einer Bundesfernstraße (Linienbestätigung). Dies gilt nicht für den Neubau von Ortsumgehungen. Eine Ortsumgehung ist der Teil einer Bundesstraße, der der Beseitigung einer Ortsdurchfahrt dient. Für die Linienbestätigung bedarf es keines förmlichen Verwaltungsverfahrens, insbesondere keiner Umweltverträglichkeitsprüfung.</w:t>
      </w:r>
    </w:p>
    <w:p>
      <w:r>
        <w:t xml:space="preserve">(2) Der Träger des Vorhabens berücksichtigt bei seinem Vorschlag die von der Planung berührten öffentlichen Belange, einschließlich der Umweltauswirkungen und der Raumverträglichkeit.</w:t>
      </w:r>
    </w:p>
    <w:p>
      <w:r>
        <w:t xml:space="preserve">(3) Wenn Ortsplanungen oder Landesplanungen die Änderung bestehender oder die Schaffung neuer Bundesfernstraßen zur Folge haben können, ist die zuständige Straßenbaubehörde des Landes oder das Fernstraßen-Bundesamt, soweit dem Bund die Verwaltung einer Bundesfernstraße zusteht, zu beteiligen. Sie haben die Belange der Bundesfernstraßen in dem Verfahren zu vertreten. Bundesplanungen haben grundsätzlich Vorrang vor Orts- und Landesplanungen.</w:t>
      </w:r>
    </w:p>
    <w:p>
      <w:r>
        <w:rPr>
          <w:color w:val="555555"/>
          <w:sz w:val="17"/>
        </w:rPr>
        <w:t xml:space="preserve">Zitiervorschlag: § 16 FStrG</w:t>
      </w:r>
    </w:p>
    <w:p>
      <w:r>
        <w:rPr>
          <w:color w:val="555555"/>
          <w:sz w:val="17"/>
        </w:rPr>
        <w:t xml:space="preserve">Quelle: Bundesamt für Justiz, abgerufen 31.07.2026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https://recht.nulegal.eu/gesetze/FStrG/16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