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13b FStrG — Ermächtigung zu Rechtsverordnungen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Das Bundesministerium für Verkehr kann mit Zustimmung des Bundesrates Rechtsverordnungen erlassen, durch die</w:t>
      </w:r>
    </w:p>
    <w:p>
      <w:pPr>
        <w:ind w:left="420"/>
      </w:pPr>
      <w:r>
        <w:t xml:space="preserve">1. der Umfang der Kosten nach den §§ 12 und 12a näher bestimmt wird;</w:t>
      </w:r>
    </w:p>
    <w:p>
      <w:pPr>
        <w:ind w:left="420"/>
      </w:pPr>
      <w:r>
        <w:t xml:space="preserve">2. näher bestimmt wird, welche Teile der Kreuzungsanlage nach § 13 Abs. 1 und 2 zu der einen oder anderen Straße gehören;</w:t>
      </w:r>
    </w:p>
    <w:p>
      <w:pPr>
        <w:ind w:left="420"/>
      </w:pPr>
      <w:r>
        <w:t xml:space="preserve">3. die Berechnung und die Zahlung von Ablösungsbeträgen nach § 13 Abs. 3 und nach § 13a Abs. 2 näher bestimmt sowie dazu ein Verfahren zur gütlichen Beilegung von Streitigkeiten festgelegt werden.</w:t>
      </w:r>
    </w:p>
    <w:p>
      <w:r>
        <w:rPr>
          <w:color w:val="555555"/>
          <w:sz w:val="17"/>
        </w:rPr>
        <w:t xml:space="preserve">Zitiervorschlag: § 13b FStrG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https://recht.nulegal.eu/gesetze/FStrG/13b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