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FStrG — Unterhaltung der Kreuzungen mit Gewässern</w:t>
      </w:r>
    </w:p>
    <w:p>
      <w:r>
        <w:rPr>
          <w:color w:val="555555"/>
          <w:sz w:val="18"/>
        </w:rPr>
        <w:t xml:space="preserve">Bundesfernstraßengesetz</w:t>
      </w:r>
    </w:p>
    <w:p>
      <w:r>
        <w:rPr>
          <w:color w:val="555555"/>
          <w:sz w:val="18"/>
        </w:rPr>
        <w:t xml:space="preserve">Stand: 10.06.2019 (konsolidierte Textfassung, kein amtliches Inkrafttretensdatum)</w:t>
      </w:r>
    </w:p>
    <w:p>
      <w:r>
        <w:t xml:space="preserve">(1) Der Träger der Straßenbaulast hat die Kreuzungsanlagen von Bundesfernstraßen und Gewässern auf seine Kosten zu unterhalten, soweit nichts anderes vereinbart oder durch Planfeststellung bestimmt wird. Die Unterhaltungspflicht des Trägers der Straßenbaulast erstreckt sich nicht auf Leitwerke, Leitpfähle, Dalben, Absetzpfähle oder ähnliche Einrichtungen zur Sicherung der Durchfahrt unter Brücken im Zuge von Bundesfernstraßen für die Schifffahrt sowie auf Schifffahrtszeichen. Soweit diese Einrichtungen auf Kosten des Trägers der Straßenbaulast herzustellen waren, hat dieser dem Unterhaltungspflichtigen die Unterhaltungskosten und die Kosten des Betriebs dieser Einrichtungen zu ersetzen oder abzulösen.</w:t>
      </w:r>
    </w:p>
    <w:p>
      <w:r>
        <w:t xml:space="preserve">(2) Wird im Fall des § 12a Abs. 2 eine neue Kreuzung hergestellt, hat der Träger des Ausbauvorhabens die Mehrkosten für die Unterhaltung und den Betrieb der Kreuzungsanlage zu erstatten oder abzulösen. Ersparte Unterhaltungskosten für den Fortfall vorhandener Kreuzungsanlagen sind anzurechnen.</w:t>
      </w:r>
    </w:p>
    <w:p>
      <w:r>
        <w:t xml:space="preserve">(3) Die Absätze 1 und 2 gelten nicht, wenn bei dem Inkrafttreten dieses Gesetzes die Tragung der Kosten auf Grund eines bestehenden Rechts anders geregelt ist.</w:t>
      </w:r>
    </w:p>
    <w:p>
      <w:r>
        <w:t xml:space="preserve">(4) Die §§ 42 und 43 des Bundeswasserstraßengesetzes bleiben unberührt.</w:t>
      </w:r>
    </w:p>
    <w:p>
      <w:r>
        <w:rPr>
          <w:color w:val="555555"/>
          <w:sz w:val="17"/>
        </w:rPr>
        <w:t xml:space="preserve">Zitiervorschlag: § 13a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