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FStrG — Einteilung der Bundesstraßen des Fernverkehrs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Bundesstraßen des Fernverkehrs (Bundesfernstraßen) sind öffentliche Straßen, die ein zusammenhängendes Verkehrsnetz bilden und einem weiträumigen Verkehr dienen oder zu dienen bestimmt sind. In der geschlossenen Ortslage (§ 5 Abs. 4) gehören zum zusammenhängenden Verkehrsnetz die zur Aufnahme des weiträumigen Verkehrs notwendigen Straßen.</w:t>
      </w:r>
    </w:p>
    <w:p>
      <w:r>
        <w:t xml:space="preserve">(2) Sie gliedern sich in</w:t>
      </w:r>
    </w:p>
    <w:p>
      <w:pPr>
        <w:ind w:left="420"/>
      </w:pPr>
      <w:r>
        <w:t xml:space="preserve">1. Bundesautobahnen,</w:t>
      </w:r>
    </w:p>
    <w:p>
      <w:pPr>
        <w:ind w:left="420"/>
      </w:pPr>
      <w:r>
        <w:t xml:space="preserve">2. Bundesstraßen mit den Ortsdurchfahrten (§ 5 Abs. 4).</w:t>
      </w:r>
    </w:p>
    <w:p>
      <w:r>
        <w:t xml:space="preserve">(3) Bundesautobahnen sind Bundesfernstraßen, die nur für den Schnellverkehr mit Kraftfahrzeugen bestimmt und so angelegt sind, dass sie frei von höhengleichen Kreuzungen und für Zu- und Abfahrt mit besonderen Anschlussstellen ausgestattet sind. Sie sollen getrennte Fahrbahnen für den Richtungsverkehr haben.</w:t>
      </w:r>
    </w:p>
    <w:p>
      <w:r>
        <w:t xml:space="preserve">(4) Zu den Bundesfernstraßen gehören</w:t>
      </w:r>
    </w:p>
    <w:p>
      <w:pPr>
        <w:ind w:left="420"/>
      </w:pPr>
      <w:r>
        <w:t xml:space="preserve">1. der Straßenkörper; das sind besonders der Straßengrund, der Straßenunterbau, die Straßendecke, die Brücken, Tunnel, Durchlässe, Dämme, Gräben, Entwässerungsanlagen, Böschungen, Stützmauern, Lärmschutzanlagen, Trenn-, Seiten-, Rand- und Sicherheitsstreifen;</w:t>
      </w:r>
    </w:p>
    <w:p>
      <w:pPr>
        <w:ind w:left="420"/>
      </w:pPr>
      <w:r>
        <w:t xml:space="preserve">2. der Luftraum über dem Straßenkörper;</w:t>
      </w:r>
    </w:p>
    <w:p>
      <w:pPr>
        <w:ind w:left="420"/>
      </w:pPr>
      <w:r>
        <w:t xml:space="preserve">3. das Zubehör; das sind die Verkehrszeichen, die Verkehrseinrichtungen und -anlagen aller Art, die der Sicherheit oder Leichtigkeit des Straßenverkehrs oder dem Schutz der Anlieger dienen, und die Bepflanzung;</w:t>
      </w:r>
    </w:p>
    <w:p>
      <w:pPr>
        <w:ind w:left="420"/>
      </w:pPr>
      <w:r>
        <w:t xml:space="preserve">3a. Einrichtungen zur Erhebung von Maut und zur Kontrolle der Einhaltung der Mautpflicht;</w:t>
      </w:r>
    </w:p>
    <w:p>
      <w:pPr>
        <w:ind w:left="420"/>
      </w:pPr>
      <w:r>
        <w:t xml:space="preserve">4. die Nebenanlagen; das sind solche Anlagen, die überwiegend den Aufgaben der Straßenbauverwaltung der Bundesfernstraßen dienen, z. B. Straßenmeistereien, Gerätehöfe, Lager, Lagerplätze, Entnahmestellen, Hilfsbetriebe und -einrichtungen;</w:t>
      </w:r>
    </w:p>
    <w:p>
      <w:pPr>
        <w:ind w:left="420"/>
      </w:pPr>
      <w:r>
        <w:t xml:space="preserve">5. die Nebenbetriebe an den Bundesautobahnen (§ 15 Abs. 1).</w:t>
      </w:r>
    </w:p>
    <w:p>
      <w:r>
        <w:t xml:space="preserve">(5) Für die Bundesfernstraßen werden Straßenverzeichnisse geführt. Das Fernstraßen-Bundesamt bestimmt die Nummerung und Bezeichnung der Bundesfernstraßen.</w:t>
      </w:r>
    </w:p>
    <w:p>
      <w:r>
        <w:rPr>
          <w:color w:val="555555"/>
          <w:sz w:val="17"/>
        </w:rPr>
        <w:t xml:space="preserve">Zitiervorschlag: § 1 FStrG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