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FStrBAG — Aufgaben des Fernstraßen-Bundesamtes</w:t>
      </w:r>
    </w:p>
    <w:p>
      <w:r>
        <w:rPr>
          <w:color w:val="555555"/>
          <w:sz w:val="18"/>
        </w:rPr>
        <w:t xml:space="preserve">Fernstraßen-Bundesamt-Errichtungsgesetz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Dem Fernstraßen-Bundesamt obliegen folgende Aufgaben:</w:t>
      </w:r>
    </w:p>
    <w:p>
      <w:pPr>
        <w:ind w:left="420"/>
      </w:pPr>
      <w:r>
        <w:t xml:space="preserve">1. die Widmung, Umstufung und Einziehung nach Maßgabe von § 2 des Bundesfernstraßengesetzes bei Bundesfernstraßen, soweit dem Bund die Verwaltung zusteht,</w:t>
      </w:r>
    </w:p>
    <w:p>
      <w:pPr>
        <w:ind w:left="420"/>
      </w:pPr>
      <w:r>
        <w:t xml:space="preserve">2. die Erteilung des Einverständnisses zur Widmungs- und Aufstufungsentscheidung der obersten Landesstraßenbaubehörde zu Bundesautobahnen und Bundesstraßen nach § 2 Absatz 6 Satz 5 des Bundesfernstraßengesetzes,</w:t>
      </w:r>
    </w:p>
    <w:p>
      <w:pPr>
        <w:ind w:left="420"/>
      </w:pPr>
      <w:r>
        <w:t xml:space="preserve">3. die Bestimmung der Planung und Linienführung für Bundesfernstraßen nach § 16 des Bundesfernstraßengesetzes,</w:t>
      </w:r>
    </w:p>
    <w:p>
      <w:pPr>
        <w:ind w:left="420"/>
      </w:pPr>
      <w:r>
        <w:t xml:space="preserve">4. nach Maßgabe des Absatzes 2 und 3 und des § 3 Absatz 2 und 3 die Planfeststellung und Plangenehmigung für den Bau oder die Änderung von Bundesautobahnen nach § 17 des Bundesfernstraßengesetzes, einschließlich der vorgeschriebenen Anhörungen, und</w:t>
      </w:r>
    </w:p>
    <w:p>
      <w:pPr>
        <w:ind w:left="420"/>
      </w:pPr>
      <w:r>
        <w:t xml:space="preserve">5. die Wahrnehmung der Rechts- und Fachaufsicht über die Gesellschaft privaten Rechts im Sinne des Infrastrukturgesellschaftserrichtungsgesetzes, soweit diese auf Grund des § 6 des Infrastrukturgesellschaftserrichtungsgesetzes mit der Wahrnehmung von hoheitlichen Aufgaben beliehen ist.</w:t>
      </w:r>
    </w:p>
    <w:p>
      <w:r>
        <w:t xml:space="preserve">Im Übrigen ist das Fernstraßen-Bundesamt zuständig, sofern und soweit ihm durch ein Gesetz oder auf Grund eines Gesetzes Aufgaben zugewiesen werden. Das Fernstraßen-Bundesamt unterstützt das Bundesministerium für Verkehr fachlich bei der Wahrnehmung der Bundesaufsicht über die Landesbehörden, soweit dem Bund die Verwaltung der Bundesstraßen nicht zusteht, bei der Erarbeitung von Rechts- und Verwaltungsvorschriften sowie bei der zwischenstaatlichen Zusammenarbeit.</w:t>
      </w:r>
    </w:p>
    <w:p>
      <w:r>
        <w:t xml:space="preserve">(2) Das Fernstraßen-Bundesamt ist Anhörungs- und Planfeststellungsbehörde in Planfeststellungsverfahren oder Plangenehmigungsbehörde in Plangenehmigungsverfahren, die auf der Grundlage des § 17 des Bundesfernstraßengesetzes für den Bau oder die Änderung von Bundesautobahnen durchgeführt werden. Es trifft in den in Satz 1 genannten Fällen auch die Entscheidung nach § 74b des Verwaltungsverfahrensgesetzes.</w:t>
      </w:r>
    </w:p>
    <w:p>
      <w:r>
        <w:t xml:space="preserve">(3) Soweit nach Artikel 90 Absatz 4 oder Artikel 143e Absatz 2 des Grundgesetzes auf Antrag eines Landes Bundesstraßen, soweit sie im Gebiet dieses Landes liegen, vom Bund in Bundesverwaltung übernommen werden, ist das Fernstraßen-Bundesamt Anhörungs- und Planfeststellungsbehörde in Planfeststellungsverfahren oder Plangenehmigungsbehörde in Plangenehmigungsverfahren für den Bau oder die Änderung von Bundesfernstraßen.</w:t>
      </w:r>
    </w:p>
    <w:p>
      <w:r>
        <w:rPr>
          <w:color w:val="555555"/>
          <w:sz w:val="17"/>
        </w:rPr>
        <w:t xml:space="preserve">Zitiervorschlag: § 2 FStrBAG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https://recht.nulegal.eu/gesetze/FStrBAG/2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