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FStrBAG — Errichtung</w:t>
      </w:r>
    </w:p>
    <w:p>
      <w:r>
        <w:rPr>
          <w:color w:val="555555"/>
          <w:sz w:val="18"/>
        </w:rPr>
        <w:t xml:space="preserve">Fernstraßen-Bundesamt-Errichtungsgesetz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(1) Zum 1. Januar 2021 wird das Fernstraßen-Bundesamt als Bundesoberbehörde im Geschäftsbereich des Bundesministeriums für Verkehr seine Tätigkeit aufnehmen.</w:t>
      </w:r>
    </w:p>
    <w:p>
      <w:r>
        <w:t xml:space="preserve">(2) Auf Vorschlag des Bundesministeriums für Verkehr bestimmt die Bundesregierung den Sitz des Fernstraßen-Bundesamtes.</w:t>
      </w:r>
    </w:p>
    <w:p>
      <w:r>
        <w:t xml:space="preserve">(3) Das Fernstraßen-Bundesamt wird von einem Präsidenten oder einer Präsidentin geleitet.</w:t>
      </w:r>
    </w:p>
    <w:p>
      <w:r>
        <w:rPr>
          <w:color w:val="555555"/>
          <w:sz w:val="17"/>
        </w:rPr>
        <w:t xml:space="preserve">Zitiervorschlag: § 1 FStrBAG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https://recht.nulegal.eu/gesetze/FStrBAG/1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