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FStrAusbauG</w:t>
      </w:r>
    </w:p>
    <w:p>
      <w:r>
        <w:rPr>
          <w:color w:val="555555"/>
          <w:sz w:val="18"/>
        </w:rPr>
        <w:t xml:space="preserve">Fernstraßenausbaugesetz</w:t>
      </w:r>
    </w:p>
    <w:p>
      <w:r>
        <w:rPr>
          <w:color w:val="555555"/>
          <w:sz w:val="18"/>
        </w:rPr>
        <w:t xml:space="preserve">Stand: 10.06.2019 (konsolidierte Textfassung, kein amtliches Inkrafttretensdatum)</w:t>
      </w:r>
    </w:p>
    <w:p>
      <w:r>
        <w:t xml:space="preserve">Die Straßenbaupläne können im Einzelfall auch Maßnahmen enthalten, die nicht dem Bedarfsplan entsprechen, soweit dies wegen eines unvorhergesehenen höheren oder geringeren Verkehrsbedarfs, insbesondere auf Grund einer Änderung der Verkehrsstruktur, erforderlich ist.</w:t>
      </w:r>
    </w:p>
    <w:p>
      <w:r>
        <w:rPr>
          <w:color w:val="555555"/>
          <w:sz w:val="17"/>
        </w:rPr>
        <w:t xml:space="preserve">Zitiervorschlag: § 6 FStrAusbauG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https://recht.nulegal.eu/gesetze/FStrAusbauG/6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