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FStrAusbauG</w:t>
      </w:r>
    </w:p>
    <w:p>
      <w:r>
        <w:rPr>
          <w:color w:val="555555"/>
          <w:sz w:val="18"/>
        </w:rPr>
        <w:t xml:space="preserve">Fernstraßenausbaugesetz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Zur Verwirklichung des Ausbaus nach dem Bedarfsplan stellt das Bundesministerium für Verkehr Fünfjahrespläne auf. Sie bilden den Rahmen für die Aufstellung der Straßenbaupläne nach Artikel 3 des Straßenbaufinanzierungsgesetzes.</w:t>
      </w:r>
    </w:p>
    <w:p>
      <w:r>
        <w:t xml:space="preserve">(2) Das Gesetz zur Förderung der Stabilität und des Wachstums der Wirtschaft bleibt unberührt.</w:t>
      </w:r>
    </w:p>
    <w:p>
      <w:r>
        <w:rPr>
          <w:color w:val="555555"/>
          <w:sz w:val="17"/>
        </w:rPr>
        <w:t xml:space="preserve">Zitiervorschlag: § 5 FStrAusbauG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https://recht.nulegal.eu/gesetze/FStrAusbauG/5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