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FStrAusbauG</w:t>
      </w:r>
    </w:p>
    <w:p>
      <w:r>
        <w:rPr>
          <w:color w:val="555555"/>
          <w:sz w:val="18"/>
        </w:rPr>
        <w:t xml:space="preserve">Fernstraßenausbaugesetz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Einzelne Verbesserungsmaßnahmen bleiben unberührt; sie sind auf die Maßnahmen abzustimmen, die auf Grund des Bedarfsplanes ausgeführt werden sollen.</w:t>
      </w:r>
    </w:p>
    <w:p>
      <w:r>
        <w:rPr>
          <w:color w:val="555555"/>
          <w:sz w:val="17"/>
        </w:rPr>
        <w:t xml:space="preserve">Zitiervorschlag: § 3 FStrAusbauG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https://recht.nulegal.eu/gesetze/FStrAusbauG/3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