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Bau und Ausbau der Bundesfernstraßen sind Hoheitsaufgaben des Bundes. Das Netz der Bundesfernstraßen wird nach dem Bedarfsplan für die Bundesfernstraßen ausgebaut, der diesem Gesetz als Anlage beigefügt ist.</w:t>
      </w:r>
    </w:p>
    <w:p>
      <w:r>
        <w:t xml:space="preserve">(2) Die in den Bedarfsplan aufgenommenen Bau- und Ausbauvorhaben entsprechen den Zielsetzungen des § 1 Absatz 1 des Bundesfernstraßengesetzes. Die Feststellung des Bedarfs ist für die Linienbestätigung nach § 16 des Bundesfernstraßengesetzes und für die Planfeststellung nach § 17 des Bundesfernstraßengesetzes verbindlich.</w:t>
      </w:r>
    </w:p>
    <w:p>
      <w:r>
        <w:t xml:space="preserve">(3) Der Bau oder die Änderung einer Bundesfernstraße liegt im überragenden öffentlichen Interesse, dient der öffentlichen Sicherheit und ist von militärischer Relevanz, wenn</w:t>
      </w:r>
    </w:p>
    <w:p>
      <w:pPr>
        <w:ind w:left="420"/>
      </w:pPr>
      <w:r>
        <w:t xml:space="preserve">1. die Bundesfernstraße in der Anlage in der Spalte Dringlichkeit mit dem Kriterium der Engpassbeseitigung gekennzeichnet ist,</w:t>
      </w:r>
    </w:p>
    <w:p>
      <w:pPr>
        <w:ind w:left="420"/>
      </w:pPr>
      <w:r>
        <w:t xml:space="preserve">2. der Bau einer Bundesautobahn in der Anlage in der Spalte Bauziel als Neubau festgelegt ist, oder</w:t>
      </w:r>
    </w:p>
    <w:p>
      <w:pPr>
        <w:ind w:left="420"/>
      </w:pPr>
      <w:r>
        <w:t xml:space="preserve">3. der Bau einer Bundesstraße in der Anlage in der Spalte Bauziel als vierstreifiger Neubau festgelegt, oder</w:t>
      </w:r>
    </w:p>
    <w:p>
      <w:pPr>
        <w:ind w:left="420"/>
      </w:pPr>
      <w:r>
        <w:t xml:space="preserve">4. die Erweiterung einer Bundesstraße in der Anlage 1 des Fernstraßenausbaugesetzes in der Fassung der Bekanntmachung vom 20. Januar 2005 (BGBl. I S. 201), das zuletzt durch Artikel 2 des Gesetzes vom 22. Dezember 2023 (BGBl. 2023 I Nr. 409) geändert worden ist, in der Spalte Bauziel als vierstreifige Erweiterung festgelegt ist und in der Spalte Dringlichkeit als laufend und fest disponiert oder mit Vordringlichen Bedarf gekennzeichnet ist.</w:t>
      </w:r>
    </w:p>
    <w:p>
      <w:r>
        <w:t xml:space="preserve">Die Verwirklichung eines Vorhabens nach Satz 1 ist als vorrangiger Belang in die jeweils durchzuführenden Schutzgüterabwägungen einzubringen. Für Vorhaben nach Satz 1 Nummer 2 oder 3, die in der Anlage in der Spalte Dringlichkeit mit dem Kriterium des Weiteren Bedarfs mit Planungsrecht” gekennzeichnet sind, gelten die Sätze 1 und 2 nur, wenn diese Vorhaben von militärischer Relevanz sind.</w:t>
      </w:r>
    </w:p>
    <w:p>
      <w:r>
        <w:rPr>
          <w:color w:val="555555"/>
          <w:sz w:val="17"/>
        </w:rPr>
        <w:t xml:space="preserve">Zitiervorschlag: § 1 FStrAusbauG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