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FStatAusnV</w:t>
      </w:r>
    </w:p>
    <w:p>
      <w:r>
        <w:rPr>
          <w:color w:val="555555"/>
          <w:sz w:val="18"/>
        </w:rPr>
        <w:t xml:space="preserve">Verordnung über Ausnahmen bei filmstatistischen Erhebungen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Angaben nach § 72 Abs. 2 Nr. 3 und 6 des Filmförderungsgesetzes werden von Unternehmen, die Filme verleihen, vertreiben oder vorführen und deren Jahresumsatz unter DM 150.000 liegt, nicht erhoben. Angaben zu § 72 Abs. 2 Nr. 5 des Filmförderungsgesetzes werden von Unternehmen, die Filme vorführen und deren Jahresumsatz unter DM 150.000 liegt, nur hinsichtlich des Gesamtumsatzes und des Umsatzes aus dem Verkauf von Eintrittskarten erhoben.</w:t>
      </w:r>
    </w:p>
    <w:p>
      <w:r>
        <w:rPr>
          <w:color w:val="555555"/>
          <w:sz w:val="17"/>
        </w:rPr>
        <w:t xml:space="preserve">Zitiervorschlag: § 1 FStatAusnV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https://recht.nulegal.eu/gesetze/FStatAusnV/1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