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FSaatHerkV</w:t>
      </w:r>
    </w:p>
    <w:p>
      <w:r>
        <w:rPr>
          <w:color w:val="555555"/>
          <w:sz w:val="18"/>
        </w:rPr>
        <w:t xml:space="preserve">Forstvermehrungsgut-Herkunftsgebietsverordnung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Abs. 2 Nr. 2 und des § 10 Abs. 3 des Gesetzes über forstliches Saat- und Pflanzgut in der Fassung der Bekanntmachung vom 26. Juli 1979 (BGBl. I S. 1242) verordnet das Bundesministerium für Ernährung, Landwirtschaft und Forsten:</w:t>
      </w:r>
    </w:p>
    <w:p>
      <w:r>
        <w:rPr>
          <w:color w:val="555555"/>
          <w:sz w:val="17"/>
        </w:rPr>
        <w:t xml:space="preserve">Zitiervorschlag: Eingangsformel FSaatHerkV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https://recht.nulegal.eu/gesetze/FSaatHerkV/eingangsformel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