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FSaatHerkV — Inkrafttreten, Außerkrafttreten</w:t>
      </w:r>
    </w:p>
    <w:p>
      <w:r>
        <w:rPr>
          <w:color w:val="555555"/>
          <w:sz w:val="18"/>
        </w:rPr>
        <w:t xml:space="preserve">Forstvermehrungsgut-Herkunftsgebietsverordnung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1. Januar 1995 in Kraft.</w:t>
      </w:r>
    </w:p>
    <w:p>
      <w:r>
        <w:rPr>
          <w:color w:val="555555"/>
          <w:sz w:val="17"/>
        </w:rPr>
        <w:t xml:space="preserve">Zitiervorschlag: § 4 FSaatHerkV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https://recht.nulegal.eu/gesetze/FSaatHerkV/4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